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Mongolian Baiti"/>
          <w:bCs/>
          <w:sz w:val="44"/>
          <w:szCs w:val="44"/>
        </w:rPr>
        <w:t>惠州大亚湾经济技术开发区</w:t>
      </w:r>
      <w:r>
        <w:rPr>
          <w:rFonts w:hint="eastAsia" w:ascii="Times New Roman" w:hAnsi="Times New Roman" w:eastAsia="方正小标宋简体" w:cs="方正小标宋简体"/>
          <w:bCs/>
          <w:sz w:val="44"/>
          <w:szCs w:val="44"/>
        </w:rPr>
        <w:t>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after="312" w:afterLines="100" w:line="560" w:lineRule="exact"/>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u w:val="single"/>
          <w:lang w:val="en-US" w:eastAsia="zh-CN"/>
        </w:rPr>
        <w:t>惠湾</w:t>
      </w:r>
      <w:r>
        <w:rPr>
          <w:rFonts w:hint="eastAsia" w:ascii="Times New Roman" w:hAnsi="Times New Roman" w:eastAsia="仿宋_GB2312" w:cs="仿宋"/>
          <w:color w:val="000000"/>
          <w:sz w:val="32"/>
          <w:szCs w:val="32"/>
        </w:rPr>
        <w:t>市监</w:t>
      </w:r>
      <w:r>
        <w:rPr>
          <w:rFonts w:hint="eastAsia" w:ascii="Times New Roman" w:hAnsi="Times New Roman" w:eastAsia="仿宋_GB2312" w:cs="仿宋"/>
          <w:color w:val="000000"/>
          <w:sz w:val="32"/>
          <w:szCs w:val="32"/>
          <w:u w:val="single"/>
          <w:lang w:val="en-US" w:eastAsia="zh-CN"/>
        </w:rPr>
        <w:t>西处字</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2021</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auto"/>
          <w:sz w:val="32"/>
          <w:szCs w:val="32"/>
          <w:u w:val="single"/>
          <w:lang w:val="en-US" w:eastAsia="zh-CN"/>
        </w:rPr>
        <w:t>15</w:t>
      </w:r>
      <w:r>
        <w:rPr>
          <w:rFonts w:hint="eastAsia" w:ascii="Times New Roman" w:hAnsi="Times New Roman" w:eastAsia="仿宋_GB2312" w:cs="仿宋"/>
          <w:color w:val="000000"/>
          <w:sz w:val="32"/>
          <w:szCs w:val="32"/>
        </w:rPr>
        <w:t>号</w:t>
      </w: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Times New Roman" w:hAnsi="Times New Roman" w:eastAsia="仿宋_GB2312" w:cs="仿宋_GB2312"/>
          <w:sz w:val="32"/>
          <w:szCs w:val="32"/>
          <w:u w:val="single"/>
          <w:lang w:val="en-US" w:eastAsia="zh-CN"/>
        </w:rPr>
        <w:t>惠州大亚湾张龙发冻品店（经营者：张龙发）</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lang w:val="en-US" w:eastAsia="zh-CN"/>
        </w:rPr>
        <w:t xml:space="preserve">营业执照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统一社会信用代码：</w:t>
      </w:r>
      <w:r>
        <w:rPr>
          <w:rFonts w:hint="eastAsia" w:ascii="Times New Roman" w:hAnsi="Times New Roman" w:eastAsia="仿宋_GB2312" w:cs="仿宋_GB2312"/>
          <w:sz w:val="32"/>
          <w:szCs w:val="32"/>
          <w:u w:val="single"/>
          <w:lang w:val="en-US" w:eastAsia="zh-CN"/>
        </w:rPr>
        <w:t> </w:t>
      </w:r>
      <w:r>
        <w:rPr>
          <w:rFonts w:hint="eastAsia" w:ascii="Times New Roman" w:hAnsi="Times New Roman" w:eastAsia="仿宋_GB2312" w:cs="仿宋_GB2312"/>
          <w:sz w:val="32"/>
          <w:szCs w:val="32"/>
          <w:u w:val="single"/>
          <w:lang w:val="en-US" w:eastAsia="zh-CN"/>
        </w:rPr>
        <w:fldChar w:fldCharType="begin"/>
      </w:r>
      <w:r>
        <w:rPr>
          <w:rFonts w:hint="eastAsia" w:ascii="Times New Roman" w:hAnsi="Times New Roman" w:eastAsia="仿宋_GB2312" w:cs="仿宋_GB2312"/>
          <w:sz w:val="32"/>
          <w:szCs w:val="32"/>
          <w:u w:val="single"/>
          <w:lang w:val="en-US" w:eastAsia="zh-CN"/>
        </w:rPr>
        <w:instrText xml:space="preserve"> HYPERLINK "http://10.10.1.21:6888/aic/Search/javascript:call('/aic/SearchCorporationTask?service=colligateSearchInterface&amp;sFromSupervision=fromSupSearch&amp;isUseDataCentre=true&amp;entityNo=7fdab58d-0150-1000-e005-e1810a0a0115','惠州大亚湾张龙发冻品店')" </w:instrText>
      </w:r>
      <w:r>
        <w:rPr>
          <w:rFonts w:hint="eastAsia" w:ascii="Times New Roman" w:hAnsi="Times New Roman" w:eastAsia="仿宋_GB2312" w:cs="仿宋_GB2312"/>
          <w:sz w:val="32"/>
          <w:szCs w:val="32"/>
          <w:u w:val="single"/>
          <w:lang w:val="en-US" w:eastAsia="zh-CN"/>
        </w:rPr>
        <w:fldChar w:fldCharType="separate"/>
      </w:r>
      <w:r>
        <w:rPr>
          <w:rFonts w:hint="eastAsia" w:ascii="仿宋_GB2312" w:hAnsi="仿宋_GB2312" w:eastAsia="仿宋_GB2312" w:cs="仿宋_GB2312"/>
          <w:kern w:val="1"/>
          <w:sz w:val="32"/>
          <w:szCs w:val="32"/>
          <w:u w:val="single"/>
          <w:lang w:val="en-US" w:eastAsia="zh-CN"/>
        </w:rPr>
        <w:t xml:space="preserve">92441300MA4Y4LHN0P </w:t>
      </w:r>
      <w:r>
        <w:rPr>
          <w:rFonts w:hint="eastAsia" w:ascii="Times New Roman" w:hAnsi="Times New Roman" w:eastAsia="仿宋_GB2312" w:cs="仿宋_GB2312"/>
          <w:sz w:val="32"/>
          <w:szCs w:val="32"/>
          <w:u w:val="single"/>
          <w:lang w:val="en-US" w:eastAsia="zh-CN"/>
        </w:rPr>
        <w:fldChar w:fldCharType="end"/>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lang w:eastAsia="zh-CN"/>
        </w:rPr>
        <w:t>经营者</w:t>
      </w:r>
      <w:r>
        <w:rPr>
          <w:rFonts w:hint="eastAsia" w:ascii="仿宋_GB2312" w:hAnsi="仿宋_GB2312" w:eastAsia="仿宋_GB2312" w:cs="仿宋_GB2312"/>
          <w:kern w:val="1"/>
          <w:sz w:val="32"/>
          <w:szCs w:val="32"/>
        </w:rPr>
        <w:t>：</w:t>
      </w:r>
      <w:r>
        <w:rPr>
          <w:rFonts w:hint="eastAsia" w:ascii="Times New Roman" w:hAnsi="Times New Roman" w:eastAsia="仿宋_GB2312" w:cs="仿宋_GB2312"/>
          <w:sz w:val="32"/>
          <w:szCs w:val="32"/>
          <w:u w:val="single"/>
          <w:lang w:val="en-US" w:eastAsia="zh-CN"/>
        </w:rPr>
        <w:t>张龙发</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kern w:val="1"/>
          <w:sz w:val="32"/>
          <w:szCs w:val="32"/>
        </w:rPr>
        <w:t>联系地址：</w:t>
      </w:r>
      <w:r>
        <w:rPr>
          <w:rFonts w:hint="eastAsia" w:ascii="Times New Roman" w:hAnsi="Times New Roman" w:eastAsia="仿宋_GB2312" w:cs="仿宋_GB2312"/>
          <w:sz w:val="32"/>
          <w:szCs w:val="32"/>
          <w:u w:val="single"/>
          <w:lang w:val="en-US" w:eastAsia="zh-CN"/>
        </w:rPr>
        <w:t>惠州大亚湾西区上杨罗屋村</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default" w:ascii="仿宋" w:hAnsi="仿宋" w:eastAsia="仿宋"/>
          <w:sz w:val="32"/>
          <w:szCs w:val="32"/>
          <w:u w:val="single"/>
          <w:lang w:val="en-US" w:eastAsia="zh-CN"/>
        </w:rPr>
      </w:pPr>
      <w:r>
        <w:rPr>
          <w:rFonts w:hint="eastAsia" w:ascii="Times New Roman" w:hAnsi="Times New Roman" w:eastAsia="仿宋_GB2312" w:cs="仿宋_GB2312"/>
          <w:sz w:val="32"/>
          <w:szCs w:val="32"/>
          <w:u w:val="single"/>
          <w:lang w:val="en-US" w:eastAsia="zh-CN"/>
        </w:rPr>
        <w:t>2020年12月14日，我局西区所执法人员对位于惠州大亚湾西区上杨罗屋村的惠州大亚湾张龙发冻品店依法进行检查，经查在该店发现金帛丰鸡胗串8包（标准：SB/T10379-2012，生产日期2019年11月1日，保质期12个月），金帛丰鸭胗串4包（标准：SB/T10379-2012，生产日期2019年8月8日，保质期12个月），信诺客脆骨串15包（标准：SB/T10379，30g/包，生产日期2017年4月8日，保质期12个月），穆清源羊腰串1包（标准：SB/T10379，生产日期2019年8月1日，保质期12个月），海霸王香菇饺10包（105g/包，生产日期为2018年8月18日5包，生产日期为2018年12月11日5包，保质期12个月），均已超过保质期，当事人将上述超过保质期的食品与仍在保质期内的食品一同存放于店内冰柜。执法人员另发现名为COREN FROZEN PORK HIND FEET的冻猪蹄3箱（10kg/箱）无中文标签。经初步调查，当事人涉嫌销售超过保质期的食品及标签不符合要求的预包装食品违反《中华人民共和国食品安全法》第三十四条第十项、第六十七条第一款第九项的规定。我局于当日对当事人进行立案调查，对其销售的超过保质期的食品及标签不符合要求的预包装食品实施了扣押的行政强制措施（详见《财物清单》第172号），其中名为COREN FROZEN PORK HIND FEET的冻猪蹄3箱（10kg/箱）因无法现场认定是否感染新型冠状病毒，故就地封存于当事人店铺。执法人员现场向当事人发出《限期提供材料通知书》，并责令当事人立即停止违法经营行为。</w:t>
      </w:r>
      <w:r>
        <w:rPr>
          <w:rFonts w:hint="eastAsia" w:ascii="仿宋" w:hAnsi="仿宋" w:eastAsia="仿宋"/>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仿宋_GB2312"/>
          <w:sz w:val="32"/>
          <w:szCs w:val="32"/>
          <w:u w:val="single"/>
          <w:lang w:val="en-US" w:eastAsia="zh-CN"/>
        </w:rPr>
      </w:pPr>
      <w:r>
        <w:rPr>
          <w:rFonts w:hint="eastAsia" w:ascii="Times New Roman" w:hAnsi="Times New Roman" w:eastAsia="仿宋_GB2312" w:cs="仿宋_GB2312"/>
          <w:sz w:val="32"/>
          <w:szCs w:val="32"/>
          <w:u w:val="single"/>
          <w:lang w:val="en-US" w:eastAsia="zh-CN"/>
        </w:rPr>
        <w:t xml:space="preserve">由于上述当事人所售超过保质期的食品需冷藏保存，且均不符合食品安全标准，当事人于2020年12月15日上午与执法人员一同下对其进行了先行销毁处理。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sz w:val="32"/>
          <w:szCs w:val="32"/>
          <w:u w:val="single"/>
          <w:lang w:val="en-US" w:eastAsia="zh-CN"/>
        </w:rPr>
      </w:pPr>
      <w:r>
        <w:rPr>
          <w:rFonts w:hint="eastAsia" w:ascii="Times New Roman" w:hAnsi="Times New Roman" w:eastAsia="仿宋_GB2312" w:cs="仿宋_GB2312"/>
          <w:sz w:val="32"/>
          <w:szCs w:val="32"/>
          <w:u w:val="single"/>
          <w:lang w:val="en-US" w:eastAsia="zh-CN"/>
        </w:rPr>
        <w:t xml:space="preserve">我局委托广州华银医学检验中心分别于2020年12月15日、16日对3箱名为COREN FROZEN PORK HIND FEET的冻猪蹄（生产日期分别为2020年7月23日、2020年8月3日、2020年8月6日）及其内包装、外包装进行新型冠状病毒核酸检测，2020年12月16日，我局收到9份广州华银医学检验中心出具的《检测报告单》（条形码：1B6001008876、1B6001008913、1B6001008920、1B6001009300、1B6001009316、1B6001009322、1B6001009343、1B6001009328、1B6001009320） ，显示检测结果均为阴性。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仿宋_GB2312"/>
          <w:sz w:val="32"/>
          <w:szCs w:val="32"/>
          <w:u w:val="single"/>
          <w:lang w:val="en-US" w:eastAsia="zh-CN"/>
        </w:rPr>
      </w:pPr>
      <w:r>
        <w:rPr>
          <w:rFonts w:hint="eastAsia" w:ascii="Times New Roman" w:hAnsi="Times New Roman" w:eastAsia="仿宋_GB2312" w:cs="仿宋_GB2312"/>
          <w:sz w:val="32"/>
          <w:szCs w:val="32"/>
          <w:u w:val="single"/>
          <w:lang w:val="en-US" w:eastAsia="zh-CN"/>
        </w:rPr>
        <w:t>经查，当事人的</w:t>
      </w:r>
      <w:r>
        <w:rPr>
          <w:rFonts w:hint="eastAsia" w:ascii="Times New Roman" w:hAnsi="Times New Roman" w:eastAsia="仿宋_GB2312" w:cs="仿宋"/>
          <w:color w:val="auto"/>
          <w:sz w:val="32"/>
          <w:szCs w:val="32"/>
          <w:u w:val="single"/>
          <w:lang w:val="en-US" w:eastAsia="zh-CN"/>
        </w:rPr>
        <w:t>金帛丰鸡胗串、金帛丰鸭胗串、信诺客脆骨串、穆清源羊腰串购自深圳市龙岗区**冻品批发行；海霸王香菇饺购自惠州市**冷冻食品有限公司；COREN FROZEN PORK HIND FEET冻猪蹄购自深圳市***</w:t>
      </w:r>
      <w:bookmarkStart w:id="0" w:name="_GoBack"/>
      <w:bookmarkEnd w:id="0"/>
      <w:r>
        <w:rPr>
          <w:rFonts w:hint="eastAsia" w:ascii="Times New Roman" w:hAnsi="Times New Roman" w:eastAsia="仿宋_GB2312" w:cs="仿宋"/>
          <w:color w:val="auto"/>
          <w:sz w:val="32"/>
          <w:szCs w:val="32"/>
          <w:u w:val="single"/>
          <w:lang w:val="en-US" w:eastAsia="zh-CN"/>
        </w:rPr>
        <w:t>贸易有限公司。</w:t>
      </w:r>
      <w:r>
        <w:rPr>
          <w:rFonts w:hint="eastAsia" w:ascii="Times New Roman" w:hAnsi="Times New Roman" w:eastAsia="仿宋_GB2312" w:cs="仿宋_GB2312"/>
          <w:sz w:val="32"/>
          <w:szCs w:val="32"/>
          <w:u w:val="single"/>
          <w:lang w:val="en-US" w:eastAsia="zh-CN"/>
        </w:rPr>
        <w:t>当事人可提供部分涉案食品的进货票据，且无法提供COREN FROZEN PORK HIND FEET冻猪蹄的合法有效进口手续相关材料。据当事人陈述，当事人将上述超过保质期的食品与保质期内的食品一同存放于经营场所的冰柜内，用于销售，当事人得知上述食品超过保质期后均未售出。经统计，当事人销售超过保质期食品的涉案货值金额为618元，执法人员未发现</w:t>
      </w:r>
      <w:r>
        <w:rPr>
          <w:rFonts w:ascii="仿宋" w:hAnsi="仿宋" w:eastAsia="仿宋"/>
          <w:sz w:val="32"/>
          <w:u w:val="single"/>
        </w:rPr>
        <w:t>经营相关票据，且当事人也没建立账本账册，无法收集到当事人违法经营额的相关明细账册及单据，故无法计算</w:t>
      </w:r>
      <w:r>
        <w:rPr>
          <w:rFonts w:hint="eastAsia" w:ascii="仿宋" w:hAnsi="仿宋" w:eastAsia="仿宋"/>
          <w:sz w:val="32"/>
          <w:u w:val="single"/>
          <w:lang w:eastAsia="zh-CN"/>
        </w:rPr>
        <w:t>当事人销售超过保质期食品的</w:t>
      </w:r>
      <w:r>
        <w:rPr>
          <w:rFonts w:ascii="仿宋" w:hAnsi="仿宋" w:eastAsia="仿宋"/>
          <w:sz w:val="32"/>
          <w:u w:val="single"/>
        </w:rPr>
        <w:t>违法经营额。</w:t>
      </w:r>
      <w:r>
        <w:rPr>
          <w:rFonts w:hint="eastAsia" w:ascii="Times New Roman" w:hAnsi="Times New Roman" w:eastAsia="仿宋_GB2312" w:cs="仿宋"/>
          <w:color w:val="auto"/>
          <w:sz w:val="32"/>
          <w:szCs w:val="32"/>
          <w:u w:val="single"/>
          <w:lang w:val="en-US" w:eastAsia="zh-CN"/>
        </w:rPr>
        <w:t>经统计，当事人销售</w:t>
      </w:r>
      <w:r>
        <w:rPr>
          <w:rFonts w:hint="eastAsia" w:ascii="Times New Roman" w:hAnsi="Times New Roman" w:eastAsia="仿宋_GB2312" w:cs="仿宋_GB2312"/>
          <w:sz w:val="32"/>
          <w:szCs w:val="32"/>
          <w:u w:val="single"/>
          <w:lang w:val="en-US" w:eastAsia="zh-CN"/>
        </w:rPr>
        <w:t xml:space="preserve">标签不符合要求的预包装食品的涉案货值金额为600元，违法所得为90元。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 w:hAnsi="仿宋" w:eastAsia="仿宋"/>
          <w:sz w:val="32"/>
          <w:szCs w:val="32"/>
          <w:u w:val="single"/>
          <w:lang w:val="en-US" w:eastAsia="zh-CN"/>
        </w:rPr>
      </w:pPr>
      <w:r>
        <w:rPr>
          <w:rFonts w:hint="eastAsia" w:ascii="Times New Roman" w:hAnsi="Times New Roman" w:eastAsia="仿宋_GB2312" w:cs="仿宋"/>
          <w:color w:val="000000"/>
          <w:sz w:val="32"/>
          <w:szCs w:val="32"/>
        </w:rPr>
        <w:t>上述事实，主要有以下证据证明：</w:t>
      </w:r>
      <w:r>
        <w:rPr>
          <w:rFonts w:hint="eastAsia" w:ascii="仿宋" w:hAnsi="仿宋" w:eastAsia="仿宋"/>
          <w:sz w:val="32"/>
          <w:szCs w:val="32"/>
          <w:u w:val="single"/>
          <w:lang w:val="en-US" w:eastAsia="zh-CN"/>
        </w:rPr>
        <w:t xml:space="preserve">现场笔录、证据粘纸、询问笔录、《财物清单》、营业执照、身份证复印件、授权委托书、进货票据等。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_GB2312"/>
          <w:sz w:val="32"/>
          <w:szCs w:val="32"/>
          <w:u w:val="single"/>
          <w:lang w:val="en-US" w:eastAsia="zh-CN"/>
        </w:rPr>
      </w:pPr>
      <w:r>
        <w:rPr>
          <w:rFonts w:hint="eastAsia" w:ascii="仿宋" w:hAnsi="仿宋" w:eastAsia="仿宋"/>
          <w:sz w:val="32"/>
          <w:szCs w:val="32"/>
          <w:u w:val="single"/>
          <w:lang w:val="en-US" w:eastAsia="zh-CN"/>
        </w:rPr>
        <w:t>当事人自2021年1月28日收到我局送达的《行政处罚听证</w:t>
      </w:r>
      <w:r>
        <w:rPr>
          <w:rFonts w:hint="eastAsia" w:ascii="仿宋_GB2312" w:hAnsi="仿宋_GB2312" w:eastAsia="仿宋_GB2312" w:cs="仿宋_GB2312"/>
          <w:bCs/>
          <w:color w:val="000000"/>
          <w:sz w:val="32"/>
          <w:szCs w:val="32"/>
          <w:u w:val="single"/>
        </w:rPr>
        <w:t>告知书》（惠湾市监西</w:t>
      </w:r>
      <w:r>
        <w:rPr>
          <w:rFonts w:hint="eastAsia" w:ascii="仿宋_GB2312" w:hAnsi="仿宋_GB2312" w:eastAsia="仿宋_GB2312" w:cs="仿宋_GB2312"/>
          <w:bCs/>
          <w:color w:val="000000"/>
          <w:sz w:val="32"/>
          <w:szCs w:val="32"/>
          <w:u w:val="single"/>
          <w:lang w:val="en-US" w:eastAsia="zh-CN"/>
        </w:rPr>
        <w:t>听</w:t>
      </w:r>
      <w:r>
        <w:rPr>
          <w:rFonts w:hint="eastAsia" w:ascii="仿宋_GB2312" w:hAnsi="仿宋_GB2312" w:eastAsia="仿宋_GB2312" w:cs="仿宋_GB2312"/>
          <w:bCs/>
          <w:color w:val="000000"/>
          <w:sz w:val="32"/>
          <w:szCs w:val="32"/>
          <w:u w:val="single"/>
        </w:rPr>
        <w:t>字〔20</w:t>
      </w:r>
      <w:r>
        <w:rPr>
          <w:rFonts w:hint="eastAsia" w:ascii="仿宋_GB2312" w:hAnsi="仿宋_GB2312" w:eastAsia="仿宋_GB2312" w:cs="仿宋_GB2312"/>
          <w:bCs/>
          <w:color w:val="000000"/>
          <w:sz w:val="32"/>
          <w:szCs w:val="32"/>
          <w:u w:val="single"/>
          <w:lang w:val="en-US" w:eastAsia="zh-CN"/>
        </w:rPr>
        <w:t>21</w:t>
      </w:r>
      <w:r>
        <w:rPr>
          <w:rFonts w:hint="eastAsia" w:ascii="仿宋_GB2312" w:hAnsi="仿宋_GB2312" w:eastAsia="仿宋_GB2312" w:cs="仿宋_GB2312"/>
          <w:bCs/>
          <w:color w:val="000000"/>
          <w:sz w:val="32"/>
          <w:szCs w:val="32"/>
          <w:u w:val="single"/>
        </w:rPr>
        <w:t>〕</w:t>
      </w:r>
      <w:r>
        <w:rPr>
          <w:rFonts w:hint="eastAsia" w:ascii="仿宋_GB2312" w:hAnsi="仿宋_GB2312" w:eastAsia="仿宋_GB2312" w:cs="仿宋_GB2312"/>
          <w:bCs/>
          <w:color w:val="000000"/>
          <w:sz w:val="32"/>
          <w:szCs w:val="32"/>
          <w:u w:val="single"/>
          <w:lang w:val="en-US" w:eastAsia="zh-CN"/>
        </w:rPr>
        <w:t>4</w:t>
      </w:r>
      <w:r>
        <w:rPr>
          <w:rFonts w:hint="eastAsia" w:ascii="仿宋_GB2312" w:hAnsi="仿宋_GB2312" w:eastAsia="仿宋_GB2312" w:cs="仿宋_GB2312"/>
          <w:bCs/>
          <w:color w:val="000000"/>
          <w:sz w:val="32"/>
          <w:szCs w:val="32"/>
          <w:u w:val="single"/>
        </w:rPr>
        <w:t>号）后，</w:t>
      </w:r>
      <w:r>
        <w:rPr>
          <w:rFonts w:hint="eastAsia" w:ascii="仿宋_GB2312" w:hAnsi="仿宋_GB2312" w:eastAsia="仿宋_GB2312" w:cs="仿宋_GB2312"/>
          <w:bCs/>
          <w:color w:val="000000"/>
          <w:sz w:val="32"/>
          <w:szCs w:val="32"/>
          <w:u w:val="single"/>
          <w:lang w:eastAsia="zh-CN"/>
        </w:rPr>
        <w:t>法定期限</w:t>
      </w:r>
      <w:r>
        <w:rPr>
          <w:rFonts w:hint="eastAsia" w:ascii="仿宋_GB2312" w:hAnsi="仿宋_GB2312" w:eastAsia="仿宋_GB2312" w:cs="仿宋_GB2312"/>
          <w:bCs/>
          <w:color w:val="000000"/>
          <w:sz w:val="32"/>
          <w:szCs w:val="32"/>
          <w:u w:val="single"/>
        </w:rPr>
        <w:t>内未向我局提</w:t>
      </w:r>
      <w:r>
        <w:rPr>
          <w:rFonts w:hint="eastAsia" w:ascii="Times New Roman" w:hAnsi="Times New Roman" w:eastAsia="仿宋_GB2312" w:cs="仿宋_GB2312"/>
          <w:sz w:val="32"/>
          <w:szCs w:val="32"/>
          <w:u w:val="single"/>
          <w:lang w:val="en-US" w:eastAsia="zh-CN"/>
        </w:rPr>
        <w:t xml:space="preserve">出陈述、申辩及听证要求。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_GB2312"/>
          <w:sz w:val="32"/>
          <w:szCs w:val="32"/>
          <w:u w:val="single"/>
          <w:lang w:val="en-US" w:eastAsia="zh-CN"/>
        </w:rPr>
      </w:pPr>
      <w:r>
        <w:rPr>
          <w:rFonts w:hint="eastAsia" w:ascii="Times New Roman" w:hAnsi="Times New Roman" w:eastAsia="仿宋_GB2312" w:cs="仿宋_GB2312"/>
          <w:sz w:val="32"/>
          <w:szCs w:val="32"/>
          <w:u w:val="single"/>
          <w:lang w:val="en-US" w:eastAsia="zh-CN"/>
        </w:rPr>
        <w:t xml:space="preserve">当事人销售超过保质期的食品及标签不符合要求的预包装食品的行为，违反了《中华人民共和国食品安全法》第三十四条第十项、第六十七条第一款第九项的规定，结合当事人的实际情况，依据《中华人民共和国食品安全法》第一百二十四条第一款第五项、第一百二十五条第一款第二项、《中华人民共和国行政处罚法》第二十三条、二十七条第二款、《广东省市场监督管理局关于行政处罚自由裁量权的试用规则》第十七条第一项的规定，责令当事人立即停止违法经营行为，并决定对当事人作出以下减轻行政处罚: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仿宋_GB2312"/>
          <w:sz w:val="32"/>
          <w:szCs w:val="32"/>
          <w:u w:val="single"/>
          <w:lang w:val="en-US" w:eastAsia="zh-CN"/>
        </w:rPr>
      </w:pPr>
      <w:r>
        <w:rPr>
          <w:rFonts w:hint="eastAsia" w:ascii="Times New Roman" w:hAnsi="Times New Roman" w:eastAsia="仿宋_GB2312" w:cs="仿宋_GB2312"/>
          <w:sz w:val="32"/>
          <w:szCs w:val="32"/>
          <w:u w:val="single"/>
          <w:lang w:val="en-US" w:eastAsia="zh-CN"/>
        </w:rPr>
        <w:t xml:space="preserve">一、罚款人民币壹万伍仟元整（¥15000.00）（其中对当事人销售超过保质期的食品的行为罚款人民币伍仟元整，对当事人销售标签不符合要求的预包装食品罚款人民币壹万元整）；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_GB2312"/>
          <w:sz w:val="32"/>
          <w:szCs w:val="32"/>
          <w:u w:val="single"/>
          <w:lang w:val="en-US" w:eastAsia="zh-CN"/>
        </w:rPr>
      </w:pPr>
      <w:r>
        <w:rPr>
          <w:rFonts w:hint="eastAsia" w:ascii="Times New Roman" w:hAnsi="Times New Roman" w:eastAsia="仿宋_GB2312" w:cs="仿宋_GB2312"/>
          <w:sz w:val="32"/>
          <w:szCs w:val="32"/>
          <w:u w:val="single"/>
          <w:lang w:val="en-US" w:eastAsia="zh-CN"/>
        </w:rPr>
        <w:t xml:space="preserve">二、没收违法所得人民币玖拾元整（¥90.00）；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仿宋_GB2312"/>
          <w:sz w:val="32"/>
          <w:szCs w:val="32"/>
          <w:u w:val="single"/>
          <w:lang w:val="en-US" w:eastAsia="zh-CN"/>
        </w:rPr>
      </w:pPr>
      <w:r>
        <w:rPr>
          <w:rFonts w:hint="eastAsia" w:ascii="Times New Roman" w:hAnsi="Times New Roman" w:eastAsia="仿宋_GB2312" w:cs="仿宋_GB2312"/>
          <w:sz w:val="32"/>
          <w:szCs w:val="32"/>
          <w:u w:val="single"/>
          <w:lang w:val="en-US" w:eastAsia="zh-CN"/>
        </w:rPr>
        <w:t xml:space="preserve">三、没收不符合食品安全标准的食品（详见《财物清单》172号）。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Times New Roman" w:hAnsi="Times New Roman" w:eastAsia="仿宋_GB2312" w:cs="仿宋_GB2312"/>
          <w:sz w:val="32"/>
          <w:szCs w:val="32"/>
          <w:u w:val="single"/>
          <w:lang w:val="en-US" w:eastAsia="zh-CN"/>
        </w:rPr>
        <w:t>当事人应当自收到本行政处罚决定书之日</w:t>
      </w:r>
      <w:r>
        <w:rPr>
          <w:rFonts w:hint="eastAsia" w:ascii="仿宋_GB2312" w:hAnsi="仿宋_GB2312" w:eastAsia="仿宋_GB2312" w:cs="仿宋_GB2312"/>
          <w:bCs/>
          <w:color w:val="000000"/>
          <w:kern w:val="2"/>
          <w:sz w:val="32"/>
          <w:szCs w:val="32"/>
          <w:u w:val="single"/>
          <w:lang w:val="en-US" w:eastAsia="zh-CN" w:bidi="ar-SA"/>
        </w:rPr>
        <w:t>起十五日内</w:t>
      </w:r>
      <w:r>
        <w:rPr>
          <w:rFonts w:hint="eastAsia" w:ascii="仿宋_GB2312" w:hAnsi="仿宋_GB2312" w:eastAsia="仿宋_GB2312" w:cs="仿宋_GB2312"/>
          <w:bCs/>
          <w:color w:val="000000"/>
          <w:sz w:val="32"/>
          <w:szCs w:val="32"/>
          <w:u w:val="single"/>
        </w:rPr>
        <w:t>，到惠州大亚湾</w:t>
      </w:r>
      <w:r>
        <w:rPr>
          <w:rFonts w:hint="eastAsia" w:ascii="仿宋_GB2312" w:hAnsi="仿宋_GB2312" w:eastAsia="仿宋_GB2312" w:cs="仿宋_GB2312"/>
          <w:bCs/>
          <w:color w:val="000000"/>
          <w:sz w:val="32"/>
          <w:szCs w:val="32"/>
          <w:u w:val="single"/>
          <w:lang w:val="en-US" w:eastAsia="zh-CN"/>
        </w:rPr>
        <w:t>的中国银行、</w:t>
      </w:r>
      <w:r>
        <w:rPr>
          <w:rFonts w:hint="eastAsia" w:ascii="仿宋_GB2312" w:hAnsi="仿宋_GB2312" w:eastAsia="仿宋_GB2312" w:cs="仿宋_GB2312"/>
          <w:bCs/>
          <w:color w:val="000000"/>
          <w:sz w:val="32"/>
          <w:szCs w:val="32"/>
          <w:u w:val="single"/>
        </w:rPr>
        <w:t>建设银行、工商银行、农业银行</w:t>
      </w:r>
      <w:r>
        <w:rPr>
          <w:rFonts w:hint="eastAsia" w:ascii="仿宋_GB2312" w:hAnsi="仿宋_GB2312" w:eastAsia="仿宋_GB2312" w:cs="仿宋_GB2312"/>
          <w:bCs/>
          <w:color w:val="000000"/>
          <w:sz w:val="32"/>
          <w:szCs w:val="32"/>
          <w:u w:val="single"/>
          <w:lang w:eastAsia="zh-CN"/>
        </w:rPr>
        <w:t>、</w:t>
      </w:r>
      <w:r>
        <w:rPr>
          <w:rFonts w:hint="eastAsia" w:ascii="仿宋_GB2312" w:hAnsi="仿宋_GB2312" w:eastAsia="仿宋_GB2312" w:cs="仿宋_GB2312"/>
          <w:bCs/>
          <w:color w:val="000000"/>
          <w:sz w:val="32"/>
          <w:szCs w:val="32"/>
          <w:u w:val="single"/>
          <w:lang w:val="en-US" w:eastAsia="zh-CN"/>
        </w:rPr>
        <w:t>农村商业银行的其中</w:t>
      </w:r>
      <w:r>
        <w:rPr>
          <w:rFonts w:hint="eastAsia" w:ascii="仿宋_GB2312" w:hAnsi="仿宋_GB2312" w:eastAsia="仿宋_GB2312" w:cs="仿宋_GB2312"/>
          <w:bCs/>
          <w:color w:val="000000"/>
          <w:sz w:val="32"/>
          <w:szCs w:val="32"/>
          <w:u w:val="single"/>
        </w:rPr>
        <w:t>一间银行缴纳罚款，或者使用大亚湾区市场监督管理局的POS机刷卡缴纳罚款。</w:t>
      </w:r>
      <w:r>
        <w:rPr>
          <w:rFonts w:hint="eastAsia" w:ascii="仿宋_GB2312" w:hAnsi="仿宋_GB2312" w:eastAsia="仿宋_GB2312" w:cs="仿宋_GB2312"/>
          <w:bCs/>
          <w:color w:val="000000"/>
          <w:sz w:val="32"/>
          <w:szCs w:val="32"/>
          <w:u w:val="single"/>
          <w:lang w:val="en-US" w:eastAsia="zh-CN"/>
        </w:rPr>
        <w:t>到期</w:t>
      </w:r>
      <w:r>
        <w:rPr>
          <w:rFonts w:hint="eastAsia" w:ascii="仿宋_GB2312" w:hAnsi="仿宋_GB2312" w:eastAsia="仿宋_GB2312" w:cs="仿宋_GB2312"/>
          <w:bCs/>
          <w:color w:val="000000"/>
          <w:sz w:val="32"/>
          <w:szCs w:val="32"/>
          <w:u w:val="single"/>
        </w:rPr>
        <w:t>不缴纳罚款的，</w:t>
      </w:r>
      <w:r>
        <w:rPr>
          <w:rFonts w:hint="eastAsia" w:ascii="仿宋_GB2312" w:hAnsi="仿宋_GB2312" w:eastAsia="仿宋_GB2312" w:cs="仿宋_GB2312"/>
          <w:bCs/>
          <w:color w:val="000000"/>
          <w:sz w:val="32"/>
          <w:szCs w:val="32"/>
          <w:u w:val="single"/>
          <w:lang w:val="en-US" w:eastAsia="zh-CN"/>
        </w:rPr>
        <w:t>依</w:t>
      </w:r>
      <w:r>
        <w:rPr>
          <w:rFonts w:hint="eastAsia" w:ascii="仿宋_GB2312" w:hAnsi="仿宋_GB2312" w:eastAsia="仿宋_GB2312" w:cs="仿宋_GB2312"/>
          <w:bCs/>
          <w:color w:val="000000"/>
          <w:sz w:val="32"/>
          <w:szCs w:val="32"/>
          <w:u w:val="single"/>
        </w:rPr>
        <w:t>据《中华人民共和国行政处罚法》第五十一条的规定，</w:t>
      </w:r>
      <w:r>
        <w:rPr>
          <w:rFonts w:hint="eastAsia" w:ascii="仿宋_GB2312" w:hAnsi="仿宋_GB2312" w:eastAsia="仿宋_GB2312" w:cs="仿宋_GB2312"/>
          <w:bCs/>
          <w:color w:val="000000"/>
          <w:sz w:val="32"/>
          <w:szCs w:val="32"/>
          <w:u w:val="single"/>
          <w:lang w:val="en-US" w:eastAsia="zh-CN"/>
        </w:rPr>
        <w:t>本局将</w:t>
      </w:r>
      <w:r>
        <w:rPr>
          <w:rFonts w:hint="eastAsia" w:ascii="仿宋_GB2312" w:hAnsi="仿宋_GB2312" w:eastAsia="仿宋_GB2312" w:cs="仿宋_GB2312"/>
          <w:bCs/>
          <w:color w:val="000000"/>
          <w:sz w:val="32"/>
          <w:szCs w:val="32"/>
          <w:u w:val="single"/>
        </w:rPr>
        <w:t>每日按罚款数额的</w:t>
      </w:r>
      <w:r>
        <w:rPr>
          <w:rFonts w:hint="eastAsia" w:ascii="仿宋_GB2312" w:hAnsi="仿宋_GB2312" w:eastAsia="仿宋_GB2312" w:cs="仿宋_GB2312"/>
          <w:bCs/>
          <w:color w:val="000000"/>
          <w:sz w:val="32"/>
          <w:szCs w:val="32"/>
          <w:u w:val="single"/>
          <w:lang w:val="en-US" w:eastAsia="zh-CN"/>
        </w:rPr>
        <w:t>百分之三</w:t>
      </w:r>
      <w:r>
        <w:rPr>
          <w:rFonts w:hint="eastAsia" w:ascii="仿宋_GB2312" w:hAnsi="仿宋_GB2312" w:eastAsia="仿宋_GB2312" w:cs="仿宋_GB2312"/>
          <w:bCs/>
          <w:color w:val="000000"/>
          <w:sz w:val="32"/>
          <w:szCs w:val="32"/>
          <w:u w:val="single"/>
        </w:rPr>
        <w:t xml:space="preserve">加处罚款，并依法申请人民法院强制执行。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u w:val="single"/>
        </w:rPr>
        <w:t>如不服本</w:t>
      </w:r>
      <w:r>
        <w:rPr>
          <w:rFonts w:hint="eastAsia" w:ascii="仿宋_GB2312" w:hAnsi="仿宋_GB2312" w:eastAsia="仿宋_GB2312" w:cs="仿宋_GB2312"/>
          <w:bCs/>
          <w:color w:val="000000"/>
          <w:sz w:val="32"/>
          <w:szCs w:val="32"/>
          <w:u w:val="single"/>
          <w:lang w:val="en-US" w:eastAsia="zh-CN"/>
        </w:rPr>
        <w:t>行政</w:t>
      </w:r>
      <w:r>
        <w:rPr>
          <w:rFonts w:hint="eastAsia" w:ascii="仿宋_GB2312" w:hAnsi="仿宋_GB2312" w:eastAsia="仿宋_GB2312" w:cs="仿宋_GB2312"/>
          <w:bCs/>
          <w:color w:val="000000"/>
          <w:sz w:val="32"/>
          <w:szCs w:val="32"/>
          <w:u w:val="single"/>
        </w:rPr>
        <w:t>处罚决定，</w:t>
      </w:r>
      <w:r>
        <w:rPr>
          <w:rFonts w:hint="eastAsia" w:ascii="仿宋_GB2312" w:hAnsi="仿宋_GB2312" w:eastAsia="仿宋_GB2312" w:cs="仿宋_GB2312"/>
          <w:bCs/>
          <w:color w:val="000000"/>
          <w:sz w:val="32"/>
          <w:szCs w:val="32"/>
          <w:u w:val="single"/>
          <w:lang w:val="en-US" w:eastAsia="zh-CN"/>
        </w:rPr>
        <w:t>可以</w:t>
      </w:r>
      <w:r>
        <w:rPr>
          <w:rFonts w:hint="eastAsia" w:ascii="仿宋_GB2312" w:hAnsi="仿宋_GB2312" w:eastAsia="仿宋_GB2312" w:cs="仿宋_GB2312"/>
          <w:bCs/>
          <w:color w:val="000000"/>
          <w:sz w:val="32"/>
          <w:szCs w:val="32"/>
          <w:u w:val="single"/>
        </w:rPr>
        <w:t>在</w:t>
      </w:r>
      <w:r>
        <w:rPr>
          <w:rFonts w:hint="eastAsia" w:ascii="仿宋_GB2312" w:hAnsi="仿宋_GB2312" w:eastAsia="仿宋_GB2312" w:cs="仿宋_GB2312"/>
          <w:bCs/>
          <w:color w:val="000000"/>
          <w:sz w:val="32"/>
          <w:szCs w:val="32"/>
          <w:u w:val="single"/>
          <w:lang w:val="en-US" w:eastAsia="zh-CN"/>
        </w:rPr>
        <w:t>收</w:t>
      </w:r>
      <w:r>
        <w:rPr>
          <w:rFonts w:hint="eastAsia" w:ascii="仿宋_GB2312" w:hAnsi="仿宋_GB2312" w:eastAsia="仿宋_GB2312" w:cs="仿宋_GB2312"/>
          <w:bCs/>
          <w:color w:val="000000"/>
          <w:sz w:val="32"/>
          <w:szCs w:val="32"/>
          <w:u w:val="single"/>
        </w:rPr>
        <w:t>到本</w:t>
      </w:r>
      <w:r>
        <w:rPr>
          <w:rFonts w:hint="eastAsia" w:ascii="仿宋_GB2312" w:hAnsi="仿宋_GB2312" w:eastAsia="仿宋_GB2312" w:cs="仿宋_GB2312"/>
          <w:bCs/>
          <w:color w:val="000000"/>
          <w:sz w:val="32"/>
          <w:szCs w:val="32"/>
          <w:u w:val="single"/>
          <w:lang w:val="en-US" w:eastAsia="zh-CN"/>
        </w:rPr>
        <w:t>行政</w:t>
      </w:r>
      <w:r>
        <w:rPr>
          <w:rFonts w:hint="eastAsia" w:ascii="仿宋_GB2312" w:hAnsi="仿宋_GB2312" w:eastAsia="仿宋_GB2312" w:cs="仿宋_GB2312"/>
          <w:bCs/>
          <w:color w:val="000000"/>
          <w:sz w:val="32"/>
          <w:szCs w:val="32"/>
          <w:u w:val="single"/>
        </w:rPr>
        <w:t>处罚决定书之日起</w:t>
      </w:r>
      <w:r>
        <w:rPr>
          <w:rFonts w:hint="eastAsia" w:ascii="仿宋_GB2312" w:hAnsi="仿宋_GB2312" w:eastAsia="仿宋_GB2312" w:cs="仿宋_GB2312"/>
          <w:bCs/>
          <w:color w:val="000000"/>
          <w:sz w:val="32"/>
          <w:szCs w:val="32"/>
          <w:u w:val="single"/>
          <w:lang w:val="en-US" w:eastAsia="zh-CN"/>
        </w:rPr>
        <w:t>六十</w:t>
      </w:r>
      <w:r>
        <w:rPr>
          <w:rFonts w:hint="eastAsia" w:ascii="仿宋_GB2312" w:hAnsi="仿宋_GB2312" w:eastAsia="仿宋_GB2312" w:cs="仿宋_GB2312"/>
          <w:bCs/>
          <w:color w:val="000000"/>
          <w:sz w:val="32"/>
          <w:szCs w:val="32"/>
          <w:u w:val="single"/>
        </w:rPr>
        <w:t>日内向惠州大亚湾经济技术开发区管理委员会</w:t>
      </w:r>
      <w:r>
        <w:rPr>
          <w:rFonts w:hint="eastAsia" w:ascii="仿宋_GB2312" w:hAnsi="仿宋_GB2312" w:eastAsia="仿宋_GB2312" w:cs="仿宋_GB2312"/>
          <w:bCs/>
          <w:color w:val="000000"/>
          <w:sz w:val="32"/>
          <w:szCs w:val="32"/>
          <w:u w:val="single"/>
          <w:lang w:val="en-US" w:eastAsia="zh-CN"/>
        </w:rPr>
        <w:t>或者</w:t>
      </w:r>
      <w:r>
        <w:rPr>
          <w:rFonts w:hint="eastAsia" w:ascii="仿宋_GB2312" w:hAnsi="仿宋_GB2312" w:eastAsia="仿宋_GB2312" w:cs="仿宋_GB2312"/>
          <w:bCs/>
          <w:color w:val="000000"/>
          <w:sz w:val="32"/>
          <w:szCs w:val="32"/>
          <w:u w:val="single"/>
        </w:rPr>
        <w:t>惠州市市场监督管理局申请行政复议</w:t>
      </w:r>
      <w:r>
        <w:rPr>
          <w:rFonts w:hint="eastAsia" w:ascii="仿宋_GB2312" w:hAnsi="仿宋_GB2312" w:eastAsia="仿宋_GB2312" w:cs="仿宋_GB2312"/>
          <w:bCs/>
          <w:color w:val="000000"/>
          <w:sz w:val="32"/>
          <w:szCs w:val="32"/>
          <w:u w:val="single"/>
          <w:lang w:eastAsia="zh-CN"/>
        </w:rPr>
        <w:t>；</w:t>
      </w:r>
      <w:r>
        <w:rPr>
          <w:rFonts w:hint="eastAsia" w:ascii="仿宋_GB2312" w:hAnsi="仿宋_GB2312" w:eastAsia="仿宋_GB2312" w:cs="仿宋_GB2312"/>
          <w:bCs/>
          <w:color w:val="000000"/>
          <w:sz w:val="32"/>
          <w:szCs w:val="32"/>
          <w:u w:val="single"/>
        </w:rPr>
        <w:t>也</w:t>
      </w:r>
      <w:r>
        <w:rPr>
          <w:rFonts w:hint="eastAsia" w:ascii="仿宋_GB2312" w:hAnsi="仿宋_GB2312" w:eastAsia="仿宋_GB2312" w:cs="仿宋_GB2312"/>
          <w:bCs/>
          <w:color w:val="000000"/>
          <w:sz w:val="32"/>
          <w:szCs w:val="32"/>
          <w:u w:val="single"/>
          <w:lang w:val="en-US" w:eastAsia="zh-CN"/>
        </w:rPr>
        <w:t>可以在六</w:t>
      </w:r>
      <w:r>
        <w:rPr>
          <w:rFonts w:hint="eastAsia" w:ascii="仿宋_GB2312" w:hAnsi="仿宋_GB2312" w:eastAsia="仿宋_GB2312" w:cs="仿宋_GB2312"/>
          <w:bCs/>
          <w:color w:val="000000"/>
          <w:sz w:val="32"/>
          <w:szCs w:val="32"/>
          <w:u w:val="single"/>
        </w:rPr>
        <w:t>个月内</w:t>
      </w:r>
      <w:r>
        <w:rPr>
          <w:rFonts w:hint="eastAsia" w:ascii="仿宋_GB2312" w:hAnsi="仿宋_GB2312" w:eastAsia="仿宋_GB2312" w:cs="仿宋_GB2312"/>
          <w:bCs/>
          <w:color w:val="000000"/>
          <w:sz w:val="32"/>
          <w:szCs w:val="32"/>
          <w:u w:val="single"/>
          <w:lang w:val="en-US" w:eastAsia="zh-CN"/>
        </w:rPr>
        <w:t>依法</w:t>
      </w:r>
      <w:r>
        <w:rPr>
          <w:rFonts w:hint="eastAsia" w:ascii="仿宋_GB2312" w:hAnsi="仿宋_GB2312" w:eastAsia="仿宋_GB2312" w:cs="仿宋_GB2312"/>
          <w:bCs/>
          <w:color w:val="000000"/>
          <w:sz w:val="32"/>
          <w:szCs w:val="32"/>
          <w:u w:val="single"/>
        </w:rPr>
        <w:t>向博罗县人民法院提起行政诉讼。</w:t>
      </w:r>
      <w:r>
        <w:rPr>
          <w:rFonts w:hint="eastAsia" w:ascii="仿宋_GB2312" w:hAnsi="仿宋_GB2312" w:eastAsia="仿宋_GB2312" w:cs="仿宋_GB2312"/>
          <w:bCs/>
          <w:color w:val="000000"/>
          <w:sz w:val="32"/>
          <w:szCs w:val="32"/>
          <w:u w:val="single"/>
          <w:lang w:val="en-US" w:eastAsia="zh-CN"/>
        </w:rPr>
        <w:t>申请行政复议或者提起行政诉讼期间，行政处罚不停止执行。</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01"/>
        <w:jc w:val="center"/>
        <w:textAlignment w:val="auto"/>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 xml:space="preserve">           </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rPr>
        <w:t>惠州大亚湾经济技术开发区市场监督管理局</w:t>
      </w:r>
    </w:p>
    <w:p>
      <w:pPr>
        <w:keepNext w:val="0"/>
        <w:keepLines w:val="0"/>
        <w:pageBreakBefore w:val="0"/>
        <w:widowControl w:val="0"/>
        <w:kinsoku/>
        <w:overflowPunct/>
        <w:topLinePunct w:val="0"/>
        <w:autoSpaceDE/>
        <w:autoSpaceDN/>
        <w:bidi w:val="0"/>
        <w:adjustRightInd/>
        <w:spacing w:line="560" w:lineRule="exact"/>
        <w:ind w:right="640" w:firstLine="601"/>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2021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val="0"/>
          <w:bCs w:val="0"/>
          <w:color w:val="000000"/>
          <w:sz w:val="32"/>
          <w:szCs w:val="32"/>
        </w:rPr>
        <w:t>（市场监督管理部门将依法向社会公示本行政处罚决定信息）</w:t>
      </w:r>
    </w:p>
    <w:p>
      <w:pPr>
        <w:keepNext w:val="0"/>
        <w:keepLines w:val="0"/>
        <w:pageBreakBefore w:val="0"/>
        <w:widowControl w:val="0"/>
        <w:kinsoku/>
        <w:wordWrap w:val="0"/>
        <w:overflowPunct/>
        <w:topLinePunct w:val="0"/>
        <w:autoSpaceDE/>
        <w:autoSpaceDN/>
        <w:bidi w:val="0"/>
        <w:adjustRightInd/>
        <w:spacing w:line="56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765760" behindDoc="0" locked="0" layoutInCell="1" allowOverlap="1">
                <wp:simplePos x="0" y="0"/>
                <wp:positionH relativeFrom="column">
                  <wp:posOffset>-20320</wp:posOffset>
                </wp:positionH>
                <wp:positionV relativeFrom="paragraph">
                  <wp:posOffset>172085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6pt;margin-top:13.55pt;height:0.05pt;width:437.05pt;z-index:251765760;mso-width-relative:page;mso-height-relative:page;" filled="f" stroked="t" coordsize="21600,21600" o:gfxdata="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K6G5PYAAAACAEAAA8AAAAAAAAAAQAgAAAA&#10;IgAAAGRycy9kb3ducmV2LnhtbFBLAQIUABQAAAAIAIdO4kApN0ev0gEAAI8DAAAOAAAAAAAAAAEA&#10;IAAAACcBAABkcnMvZTJvRG9jLnhtbFBLBQYAAAAABgAGAFkBAABrBQ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u w:val="none"/>
        </w:rPr>
        <mc:AlternateContent>
          <mc:Choice Requires="wps">
            <w:drawing>
              <wp:anchor distT="0" distB="0" distL="114300" distR="114300" simplePos="0" relativeHeight="2517647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7647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仿宋_GB2312" w:hAnsi="仿宋_GB2312" w:eastAsia="仿宋_GB2312" w:cs="仿宋_GB2312"/>
          <w:color w:val="000000"/>
          <w:sz w:val="32"/>
          <w:szCs w:val="32"/>
          <w:u w:val="none"/>
        </w:rPr>
        <w:t>本文书一式</w:t>
      </w:r>
      <w:r>
        <w:rPr>
          <w:rFonts w:hint="eastAsia" w:ascii="仿宋_GB2312" w:hAnsi="仿宋_GB2312" w:eastAsia="仿宋_GB2312" w:cs="仿宋_GB2312"/>
          <w:color w:val="000000"/>
          <w:sz w:val="32"/>
          <w:szCs w:val="32"/>
          <w:u w:val="none"/>
          <w:lang w:val="en-US" w:eastAsia="zh-CN"/>
        </w:rPr>
        <w:t>两</w:t>
      </w:r>
      <w:r>
        <w:rPr>
          <w:rFonts w:hint="eastAsia" w:ascii="仿宋_GB2312" w:hAnsi="仿宋_GB2312" w:eastAsia="仿宋_GB2312" w:cs="仿宋_GB2312"/>
          <w:color w:val="000000"/>
          <w:sz w:val="32"/>
          <w:szCs w:val="32"/>
          <w:u w:val="none"/>
        </w:rPr>
        <w:t>份，</w:t>
      </w:r>
      <w:r>
        <w:rPr>
          <w:rFonts w:hint="eastAsia" w:ascii="仿宋_GB2312" w:hAnsi="仿宋_GB2312" w:eastAsia="仿宋_GB2312" w:cs="仿宋_GB2312"/>
          <w:color w:val="000000"/>
          <w:sz w:val="32"/>
          <w:szCs w:val="32"/>
          <w:u w:val="none"/>
          <w:lang w:val="en-US" w:eastAsia="zh-CN"/>
        </w:rPr>
        <w:t>一</w:t>
      </w:r>
      <w:r>
        <w:rPr>
          <w:rFonts w:hint="eastAsia" w:ascii="仿宋_GB2312" w:hAnsi="仿宋_GB2312" w:eastAsia="仿宋_GB2312" w:cs="仿宋_GB2312"/>
          <w:color w:val="000000"/>
          <w:sz w:val="32"/>
          <w:szCs w:val="32"/>
          <w:u w:val="none"/>
        </w:rPr>
        <w:t>份送达，一</w:t>
      </w:r>
      <w:r>
        <w:rPr>
          <w:rFonts w:hint="eastAsia" w:ascii="仿宋_GB2312" w:hAnsi="仿宋_GB2312" w:eastAsia="仿宋_GB2312" w:cs="仿宋_GB2312"/>
          <w:color w:val="000000"/>
          <w:sz w:val="32"/>
          <w:szCs w:val="32"/>
        </w:rPr>
        <w:t>份归档。</w:t>
      </w:r>
    </w:p>
    <w:sectPr>
      <w:footerReference r:id="rId3" w:type="default"/>
      <w:pgSz w:w="11906" w:h="16838"/>
      <w:pgMar w:top="1440" w:right="1559" w:bottom="1383"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posOffset>2120265</wp:posOffset>
              </wp:positionH>
              <wp:positionV relativeFrom="paragraph">
                <wp:posOffset>-88900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6.95pt;margin-top:-7pt;height:144pt;width:144pt;mso-position-horizontal-relative:margin;mso-wrap-style:none;z-index:251658240;mso-width-relative:page;mso-height-relative:page;" filled="f" stroked="f" coordsize="21600,21600" o:gfxdata="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e+ZQ1wAAAAsBAAAPAAAAAAAA&#10;AAEAIAAAACIAAABkcnMvZG93bnJldi54bWxQSwECFAAUAAAACACHTuJABdxysBMCAAATBAAADgAA&#10;AAAAAAABACAAAAAmAQAAZHJzL2Uyb0RvYy54bWxQSwUGAAAAAAYABgBZAQAAqwUAAAAA&#10;">
              <v:fill on="f" focussize="0,0"/>
              <v:stroke on="f" weight="0.5pt"/>
              <v:imagedata o:title=""/>
              <o:lock v:ext="edit" aspectratio="f"/>
              <v:textbox inset="0mm,0mm,0mm,0mm" style="mso-fit-shape-to-text:t;">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1D7747A"/>
    <w:rsid w:val="02F11640"/>
    <w:rsid w:val="05EC6C5F"/>
    <w:rsid w:val="07DB75EB"/>
    <w:rsid w:val="09FA03ED"/>
    <w:rsid w:val="0AB8293D"/>
    <w:rsid w:val="0AF00C98"/>
    <w:rsid w:val="0B581F25"/>
    <w:rsid w:val="0BEF70AE"/>
    <w:rsid w:val="0CA24054"/>
    <w:rsid w:val="0E902512"/>
    <w:rsid w:val="0F0C4DEC"/>
    <w:rsid w:val="0FAD29E8"/>
    <w:rsid w:val="103E3AEB"/>
    <w:rsid w:val="126D6483"/>
    <w:rsid w:val="12C72088"/>
    <w:rsid w:val="13A95C80"/>
    <w:rsid w:val="15DF5E21"/>
    <w:rsid w:val="18E660FD"/>
    <w:rsid w:val="1962136F"/>
    <w:rsid w:val="19CA24B5"/>
    <w:rsid w:val="19F70C47"/>
    <w:rsid w:val="1A0944E2"/>
    <w:rsid w:val="1B273E89"/>
    <w:rsid w:val="1EFD7012"/>
    <w:rsid w:val="1F6436F2"/>
    <w:rsid w:val="1FAC3C03"/>
    <w:rsid w:val="20AB7C90"/>
    <w:rsid w:val="21A12216"/>
    <w:rsid w:val="23034A3F"/>
    <w:rsid w:val="23FC4940"/>
    <w:rsid w:val="253F4E86"/>
    <w:rsid w:val="2707344D"/>
    <w:rsid w:val="277B6956"/>
    <w:rsid w:val="292674AF"/>
    <w:rsid w:val="2B8405F2"/>
    <w:rsid w:val="2BCF6E13"/>
    <w:rsid w:val="2CAD0916"/>
    <w:rsid w:val="30822D9F"/>
    <w:rsid w:val="319F3384"/>
    <w:rsid w:val="33F956AE"/>
    <w:rsid w:val="348274E3"/>
    <w:rsid w:val="35BA74B5"/>
    <w:rsid w:val="365C0E67"/>
    <w:rsid w:val="37A26DD9"/>
    <w:rsid w:val="38912164"/>
    <w:rsid w:val="38FF09EE"/>
    <w:rsid w:val="390E633C"/>
    <w:rsid w:val="39EF22F8"/>
    <w:rsid w:val="3AF33710"/>
    <w:rsid w:val="3C5C07C7"/>
    <w:rsid w:val="3D51448E"/>
    <w:rsid w:val="3E2E34B7"/>
    <w:rsid w:val="3E7C56BE"/>
    <w:rsid w:val="3EA01000"/>
    <w:rsid w:val="3FBF66C9"/>
    <w:rsid w:val="41DF5F66"/>
    <w:rsid w:val="41E233FC"/>
    <w:rsid w:val="41FF2BF6"/>
    <w:rsid w:val="43FC5992"/>
    <w:rsid w:val="45657E3A"/>
    <w:rsid w:val="472C4C55"/>
    <w:rsid w:val="477F0868"/>
    <w:rsid w:val="47DB32D3"/>
    <w:rsid w:val="4C391BEE"/>
    <w:rsid w:val="4C7C37F5"/>
    <w:rsid w:val="4D097B45"/>
    <w:rsid w:val="4D144A3D"/>
    <w:rsid w:val="4D465454"/>
    <w:rsid w:val="4E345BE0"/>
    <w:rsid w:val="528778EB"/>
    <w:rsid w:val="528F6ABE"/>
    <w:rsid w:val="532E414E"/>
    <w:rsid w:val="58EC2BBF"/>
    <w:rsid w:val="5A0844F8"/>
    <w:rsid w:val="5A644306"/>
    <w:rsid w:val="5BF13BEC"/>
    <w:rsid w:val="5D0B671F"/>
    <w:rsid w:val="5D496EBC"/>
    <w:rsid w:val="609020B1"/>
    <w:rsid w:val="61B822E0"/>
    <w:rsid w:val="625426F7"/>
    <w:rsid w:val="63E94992"/>
    <w:rsid w:val="65506357"/>
    <w:rsid w:val="67376857"/>
    <w:rsid w:val="67CE40E5"/>
    <w:rsid w:val="68DE7694"/>
    <w:rsid w:val="69443A50"/>
    <w:rsid w:val="697D2051"/>
    <w:rsid w:val="6C597479"/>
    <w:rsid w:val="6E721FDF"/>
    <w:rsid w:val="708D0265"/>
    <w:rsid w:val="73F4229E"/>
    <w:rsid w:val="73F71089"/>
    <w:rsid w:val="749F1D4C"/>
    <w:rsid w:val="77330C82"/>
    <w:rsid w:val="793A2167"/>
    <w:rsid w:val="7B584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FollowedHyperlink"/>
    <w:basedOn w:val="7"/>
    <w:qFormat/>
    <w:uiPriority w:val="0"/>
    <w:rPr>
      <w:color w:val="FFFFFF"/>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2019-10-08T09:08:00Z</cp:lastPrinted>
  <dcterms:modified xsi:type="dcterms:W3CDTF">2021-04-21T02:25:50Z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