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keepNext w:val="0"/>
        <w:keepLines w:val="0"/>
        <w:pageBreakBefore w:val="0"/>
        <w:widowControl w:val="0"/>
        <w:kinsoku/>
        <w:overflowPunct/>
        <w:topLinePunct w:val="0"/>
        <w:autoSpaceDE/>
        <w:autoSpaceDN/>
        <w:bidi w:val="0"/>
        <w:adjustRightInd/>
        <w:spacing w:line="46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lang w:eastAsia="zh-CN"/>
        </w:rPr>
        <w:t>不予</w:t>
      </w: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line="4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lang w:val="en-US" w:eastAsia="zh-CN"/>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lang w:val="en-US" w:eastAsia="zh-CN"/>
        </w:rPr>
        <w:t>西不处字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2021</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auto"/>
          <w:sz w:val="32"/>
          <w:szCs w:val="32"/>
          <w:u w:val="single"/>
          <w:lang w:val="en-US" w:eastAsia="zh-CN"/>
        </w:rPr>
        <w:t>6</w:t>
      </w:r>
      <w:r>
        <w:rPr>
          <w:rFonts w:hint="eastAsia" w:ascii="Times New Roman" w:hAnsi="Times New Roman" w:eastAsia="仿宋_GB2312" w:cs="仿宋"/>
          <w:color w:val="000000"/>
          <w:sz w:val="32"/>
          <w:szCs w:val="32"/>
        </w:rPr>
        <w:t>号</w:t>
      </w:r>
    </w:p>
    <w:p>
      <w:pPr>
        <w:keepNext w:val="0"/>
        <w:keepLines w:val="0"/>
        <w:pageBreakBefore w:val="0"/>
        <w:widowControl w:val="0"/>
        <w:kinsoku/>
        <w:overflowPunct/>
        <w:topLinePunct w:val="0"/>
        <w:autoSpaceDE/>
        <w:autoSpaceDN/>
        <w:bidi w:val="0"/>
        <w:adjustRightInd/>
        <w:spacing w:line="4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Times New Roman" w:hAnsi="Times New Roman" w:eastAsia="仿宋_GB2312" w:cs="仿宋_GB2312"/>
          <w:bCs/>
          <w:sz w:val="32"/>
          <w:szCs w:val="32"/>
          <w:u w:val="single"/>
          <w:lang w:val="en-US" w:eastAsia="zh-CN"/>
        </w:rPr>
        <w:t xml:space="preserve">朱勇浩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val="en-US" w:eastAsia="zh-CN"/>
        </w:rPr>
        <w:t xml:space="preserve">营业执照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4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注册号：</w:t>
      </w:r>
      <w:r>
        <w:rPr>
          <w:rFonts w:hint="eastAsia" w:ascii="仿宋_GB2312" w:hAnsi="仿宋_GB2312" w:eastAsia="仿宋_GB2312" w:cs="仿宋_GB2312"/>
          <w:kern w:val="1"/>
          <w:sz w:val="32"/>
          <w:szCs w:val="32"/>
          <w:u w:val="single"/>
          <w:lang w:val="en-US" w:eastAsia="zh-CN"/>
        </w:rPr>
        <w:t xml:space="preserve">441304600057172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住所（住址）：</w:t>
      </w:r>
      <w:r>
        <w:rPr>
          <w:rFonts w:hint="eastAsia" w:ascii="仿宋_GB2312" w:hAnsi="仿宋_GB2312" w:eastAsia="仿宋_GB2312" w:cs="仿宋_GB2312"/>
          <w:kern w:val="1"/>
          <w:sz w:val="32"/>
          <w:szCs w:val="32"/>
          <w:u w:val="single"/>
          <w:lang w:val="en-US" w:eastAsia="zh-CN"/>
        </w:rPr>
        <w:t xml:space="preserve">广东省惠州市大亚湾区西区塘尾石古背9号                                            </w:t>
      </w:r>
    </w:p>
    <w:p>
      <w:pPr>
        <w:keepNext w:val="0"/>
        <w:keepLines w:val="0"/>
        <w:pageBreakBefore w:val="0"/>
        <w:widowControl w:val="0"/>
        <w:kinsoku/>
        <w:overflowPunct/>
        <w:topLinePunct w:val="0"/>
        <w:autoSpaceDE/>
        <w:autoSpaceDN/>
        <w:bidi w:val="0"/>
        <w:adjustRightInd/>
        <w:spacing w:line="4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法定代表人（负责人、经营者）：</w:t>
      </w:r>
      <w:r>
        <w:rPr>
          <w:rFonts w:hint="eastAsia" w:ascii="Times New Roman" w:hAnsi="Times New Roman" w:eastAsia="仿宋_GB2312" w:cs="仿宋_GB2312"/>
          <w:bCs/>
          <w:sz w:val="32"/>
          <w:szCs w:val="32"/>
          <w:u w:val="single"/>
          <w:lang w:val="en-US" w:eastAsia="zh-CN"/>
        </w:rPr>
        <w:t>朱勇浩</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ind w:left="140" w:hanging="1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kern w:val="1"/>
          <w:sz w:val="32"/>
          <w:szCs w:val="32"/>
        </w:rPr>
        <w:t>联系地址：</w:t>
      </w:r>
      <w:r>
        <w:rPr>
          <w:rFonts w:hint="eastAsia" w:ascii="仿宋_GB2312" w:hAnsi="仿宋_GB2312" w:eastAsia="仿宋_GB2312" w:cs="仿宋_GB2312"/>
          <w:kern w:val="1"/>
          <w:sz w:val="32"/>
          <w:szCs w:val="32"/>
          <w:u w:val="single"/>
          <w:lang w:val="en-US" w:eastAsia="zh-CN"/>
        </w:rPr>
        <w:t xml:space="preserve">惠州大亚湾西区鸿达市场D区23-24号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2021年1月20日，广东省惠州市质量计量监督检测所受惠州市市场监督管理局委托，对朱勇浩水产档经营的“扇贝”进行抽检，我局于2021年2月23日收到广东省惠州市质量计量监督检测所出具的《检验报告》（No:食品210120-00750），检验报告显示经抽样检验，镉（以Cd计）项目不符合GB 2762-2017《食品安全国家标准 食物中污染物限量》，《2021年惠州市市场监督管理局流通环节农产品监督抽样细则》要求，检验结论为不合格。</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2021年2月24日，我局执法人员依法对位于惠州大亚湾西区鸿达市场D区23-24号的朱勇浩档口依法进行现场检查，检查过程中未发现检验结论为不合格的该批次“扇贝”，执法人员对当事人送达了《检验报告》（No：食品210120-00750）、《检验结果告知书》（惠湾市监西检告字〔2021〕16号）以及抽样单号：DC21441300603930528对应的《广东省食品安全抽样检验结果通知书》。当事人销售不符合食品安全标准“扇贝”的行为违反《中华人民共和国食品安全法》第三十四条第二项的规定。按程序审批后，我局于当日对当事人进行立案调查，并责令当事人立即停止违法经营行为。</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我局未对当事人采取行政强制措施。</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经查，当事人检验结论为不合格的该批次“扇贝”于2021年1月20日购自惠州大亚湾**水产品批发部，共进货4公斤，进货价是20元/公斤，销售价是26元/公斤。2021年1月20日全部售出（包括销售给抽检人员部分）。可以提供供应商营业执照复印件、进货票据。据惠州大亚湾**水产品批发部的经营者郭俊强陈述，检验结论为不合格的该批次“扇贝”是其于2021年1月20日购自深圳**海洋科技养殖有限公司。经统计，当事人销售不符合食品安全标准“扇贝”的涉案货值金额为104元，违法所得为24元。</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Times New Roman" w:hAnsi="Times New Roman" w:eastAsia="仿宋_GB2312" w:cs="仿宋"/>
          <w:color w:val="000000"/>
          <w:sz w:val="32"/>
          <w:szCs w:val="32"/>
        </w:rPr>
        <w:t>上述事实，主要有以下证据证明：</w:t>
      </w:r>
      <w:r>
        <w:rPr>
          <w:rFonts w:hint="eastAsia" w:ascii="仿宋_GB2312" w:hAnsi="仿宋_GB2312" w:eastAsia="仿宋_GB2312" w:cs="仿宋_GB2312"/>
          <w:bCs/>
          <w:color w:val="000000"/>
          <w:sz w:val="32"/>
          <w:szCs w:val="32"/>
          <w:u w:val="single"/>
          <w:lang w:val="en-US" w:eastAsia="zh-CN"/>
        </w:rPr>
        <w:t>现场笔录、证据粘纸、询问笔录、营业执照及身份证复印件、进货索票索证等</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rPr>
        <w:t>当事人自20</w:t>
      </w:r>
      <w:r>
        <w:rPr>
          <w:rFonts w:hint="eastAsia" w:ascii="仿宋_GB2312" w:hAnsi="仿宋_GB2312" w:eastAsia="仿宋_GB2312" w:cs="仿宋_GB2312"/>
          <w:bCs/>
          <w:color w:val="000000"/>
          <w:sz w:val="32"/>
          <w:szCs w:val="32"/>
          <w:u w:val="single"/>
          <w:lang w:val="en-US" w:eastAsia="zh-CN"/>
        </w:rPr>
        <w:t>21</w:t>
      </w:r>
      <w:r>
        <w:rPr>
          <w:rFonts w:hint="eastAsia" w:ascii="仿宋_GB2312" w:hAnsi="仿宋_GB2312" w:eastAsia="仿宋_GB2312" w:cs="仿宋_GB2312"/>
          <w:bCs/>
          <w:color w:val="000000"/>
          <w:sz w:val="32"/>
          <w:szCs w:val="32"/>
          <w:u w:val="single"/>
        </w:rPr>
        <w:t>年</w:t>
      </w:r>
      <w:r>
        <w:rPr>
          <w:rFonts w:hint="eastAsia" w:ascii="仿宋_GB2312" w:hAnsi="仿宋_GB2312" w:eastAsia="仿宋_GB2312" w:cs="仿宋_GB2312"/>
          <w:bCs/>
          <w:color w:val="000000"/>
          <w:sz w:val="32"/>
          <w:szCs w:val="32"/>
          <w:u w:val="single"/>
          <w:lang w:val="en-US" w:eastAsia="zh-CN"/>
        </w:rPr>
        <w:t>4</w:t>
      </w:r>
      <w:r>
        <w:rPr>
          <w:rFonts w:hint="eastAsia" w:ascii="仿宋_GB2312" w:hAnsi="仿宋_GB2312" w:eastAsia="仿宋_GB2312" w:cs="仿宋_GB2312"/>
          <w:bCs/>
          <w:color w:val="000000"/>
          <w:sz w:val="32"/>
          <w:szCs w:val="32"/>
          <w:u w:val="single"/>
        </w:rPr>
        <w:t>月</w:t>
      </w:r>
      <w:r>
        <w:rPr>
          <w:rFonts w:hint="eastAsia" w:ascii="Times New Roman" w:hAnsi="Times New Roman" w:eastAsia="仿宋_GB2312" w:cs="仿宋_GB2312"/>
          <w:bCs/>
          <w:color w:val="auto"/>
          <w:kern w:val="2"/>
          <w:sz w:val="32"/>
          <w:szCs w:val="32"/>
          <w:u w:val="single"/>
          <w:lang w:val="en-US" w:eastAsia="zh-CN" w:bidi="ar-SA"/>
        </w:rPr>
        <w:t>23日收到本局送达的《行政处罚告知书》（惠湾市监西告字〔</w:t>
      </w:r>
      <w:r>
        <w:rPr>
          <w:rFonts w:hint="eastAsia" w:ascii="仿宋_GB2312" w:hAnsi="仿宋_GB2312" w:eastAsia="仿宋_GB2312" w:cs="仿宋_GB2312"/>
          <w:bCs/>
          <w:color w:val="000000"/>
          <w:sz w:val="32"/>
          <w:szCs w:val="32"/>
          <w:u w:val="single"/>
        </w:rPr>
        <w:t>20</w:t>
      </w:r>
      <w:r>
        <w:rPr>
          <w:rFonts w:hint="eastAsia" w:ascii="仿宋_GB2312" w:hAnsi="仿宋_GB2312" w:eastAsia="仿宋_GB2312" w:cs="仿宋_GB2312"/>
          <w:bCs/>
          <w:color w:val="000000"/>
          <w:sz w:val="32"/>
          <w:szCs w:val="32"/>
          <w:u w:val="single"/>
          <w:lang w:val="en-US" w:eastAsia="zh-CN"/>
        </w:rPr>
        <w:t>21</w:t>
      </w:r>
      <w:r>
        <w:rPr>
          <w:rFonts w:hint="eastAsia" w:ascii="仿宋_GB2312" w:hAnsi="仿宋_GB2312" w:eastAsia="仿宋_GB2312" w:cs="仿宋_GB2312"/>
          <w:bCs/>
          <w:color w:val="000000"/>
          <w:sz w:val="32"/>
          <w:szCs w:val="32"/>
          <w:u w:val="single"/>
        </w:rPr>
        <w:t>〕</w:t>
      </w:r>
      <w:r>
        <w:rPr>
          <w:rFonts w:hint="eastAsia" w:ascii="仿宋_GB2312" w:hAnsi="仿宋_GB2312" w:eastAsia="仿宋_GB2312" w:cs="仿宋_GB2312"/>
          <w:bCs/>
          <w:color w:val="000000"/>
          <w:sz w:val="32"/>
          <w:szCs w:val="32"/>
          <w:u w:val="single"/>
          <w:lang w:val="en-US" w:eastAsia="zh-CN"/>
        </w:rPr>
        <w:t>40</w:t>
      </w:r>
      <w:r>
        <w:rPr>
          <w:rFonts w:hint="eastAsia" w:ascii="仿宋_GB2312" w:hAnsi="仿宋_GB2312" w:eastAsia="仿宋_GB2312" w:cs="仿宋_GB2312"/>
          <w:bCs/>
          <w:color w:val="000000"/>
          <w:sz w:val="32"/>
          <w:szCs w:val="32"/>
          <w:u w:val="single"/>
        </w:rPr>
        <w:t>号）后，</w:t>
      </w:r>
      <w:r>
        <w:rPr>
          <w:rFonts w:hint="eastAsia" w:ascii="仿宋_GB2312" w:hAnsi="仿宋_GB2312" w:eastAsia="仿宋_GB2312" w:cs="仿宋_GB2312"/>
          <w:bCs/>
          <w:color w:val="000000"/>
          <w:sz w:val="32"/>
          <w:szCs w:val="32"/>
          <w:u w:val="single"/>
          <w:lang w:eastAsia="zh-CN"/>
        </w:rPr>
        <w:t>法定期限</w:t>
      </w:r>
      <w:r>
        <w:rPr>
          <w:rFonts w:hint="eastAsia" w:ascii="仿宋_GB2312" w:hAnsi="仿宋_GB2312" w:eastAsia="仿宋_GB2312" w:cs="仿宋_GB2312"/>
          <w:bCs/>
          <w:color w:val="000000"/>
          <w:sz w:val="32"/>
          <w:szCs w:val="32"/>
          <w:u w:val="single"/>
        </w:rPr>
        <w:t>内未向</w:t>
      </w:r>
      <w:r>
        <w:rPr>
          <w:rFonts w:hint="eastAsia" w:ascii="仿宋_GB2312" w:hAnsi="仿宋_GB2312" w:eastAsia="仿宋_GB2312" w:cs="仿宋_GB2312"/>
          <w:bCs/>
          <w:color w:val="000000"/>
          <w:sz w:val="32"/>
          <w:szCs w:val="32"/>
          <w:u w:val="single"/>
          <w:lang w:eastAsia="zh-CN"/>
        </w:rPr>
        <w:t>本局</w:t>
      </w:r>
      <w:r>
        <w:rPr>
          <w:rFonts w:hint="eastAsia" w:ascii="仿宋_GB2312" w:hAnsi="仿宋_GB2312" w:eastAsia="仿宋_GB2312" w:cs="仿宋_GB2312"/>
          <w:bCs/>
          <w:color w:val="000000"/>
          <w:sz w:val="32"/>
          <w:szCs w:val="32"/>
          <w:u w:val="single"/>
        </w:rPr>
        <w:t>提出陈述、申辩。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仿宋" w:cs="仿宋"/>
          <w:sz w:val="24"/>
          <w:lang w:val="en-US" w:eastAsia="zh-CN"/>
        </w:rPr>
      </w:pPr>
      <w:r>
        <w:rPr>
          <w:rFonts w:hint="eastAsia" w:ascii="Times New Roman" w:hAnsi="Times New Roman" w:eastAsia="仿宋_GB2312" w:cs="仿宋_GB2312"/>
          <w:bCs/>
          <w:color w:val="auto"/>
          <w:kern w:val="2"/>
          <w:sz w:val="32"/>
          <w:szCs w:val="32"/>
          <w:u w:val="single"/>
          <w:lang w:val="en-US" w:eastAsia="zh-CN" w:bidi="ar-SA"/>
        </w:rPr>
        <w:t>当事人销售不符合食品安全标准“扇贝”的行为，违反了《中华人民共和国食品安全法》第三十四条第二项，即“禁止生产经营下列食品、食品添加剂、食品相关产品：（二）致病性微生物，农药残留、兽药残留、生物毒素、重金属等污染物质以及其他危害人体健康的物质含量超过食品安全标准限量的食品、食品添加剂、食品相关产品；”的规定。当事人在进货时已履行进货查验等义务。通常，水产品检出镉（以Cd计）项目不符合要求，多数是因为生物从海洋环境中通过食物链的富集吸收而来，而非当事人主动添加。当事人在此违法行为中并无</w:t>
      </w:r>
      <w:r>
        <w:rPr>
          <w:rFonts w:hint="eastAsia" w:ascii="仿宋_GB2312" w:hAnsi="仿宋_GB2312" w:eastAsia="仿宋_GB2312" w:cs="仿宋_GB2312"/>
          <w:bCs/>
          <w:color w:val="000000"/>
          <w:sz w:val="32"/>
          <w:szCs w:val="32"/>
          <w:u w:val="single"/>
          <w:lang w:val="en-US" w:eastAsia="zh-CN"/>
        </w:rPr>
        <w:t>主观恶意，也对其所采购的食品不符合食品安全标准并不知情。当事人在案件调查过程中能积极配合我执法人员了解情况、提供有关材料，收到《检验报告》（No：食品210120-00750）、《检验结果告知书》（惠湾市监西检告字〔2021〕16号）以及抽样单号：DC21441300603930528对应的《广东省食品安全抽样检验结果通知书》第一时间对所售不符合食品安全标准“扇贝”进行召回。现根据《中华人民共和国食品安全法》第一百三十六条，即“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的规定，决定对当事人不予行政处罚。</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rPr>
        <w:t>当事人应</w:t>
      </w:r>
      <w:r>
        <w:rPr>
          <w:rFonts w:hint="eastAsia" w:ascii="仿宋_GB2312" w:hAnsi="仿宋_GB2312" w:eastAsia="仿宋_GB2312" w:cs="仿宋_GB2312"/>
          <w:bCs/>
          <w:color w:val="000000"/>
          <w:sz w:val="32"/>
          <w:szCs w:val="32"/>
          <w:u w:val="single"/>
          <w:lang w:val="en-US" w:eastAsia="zh-CN"/>
        </w:rPr>
        <w:t>当</w:t>
      </w:r>
      <w:r>
        <w:rPr>
          <w:rFonts w:hint="eastAsia" w:ascii="仿宋_GB2312" w:hAnsi="仿宋_GB2312" w:eastAsia="仿宋_GB2312" w:cs="仿宋_GB2312"/>
          <w:bCs/>
          <w:color w:val="000000"/>
          <w:sz w:val="32"/>
          <w:szCs w:val="32"/>
          <w:u w:val="single"/>
        </w:rPr>
        <w:t>自收到</w:t>
      </w:r>
      <w:r>
        <w:rPr>
          <w:rFonts w:hint="eastAsia" w:ascii="仿宋_GB2312" w:hAnsi="仿宋_GB2312" w:eastAsia="仿宋_GB2312" w:cs="仿宋_GB2312"/>
          <w:bCs/>
          <w:color w:val="000000"/>
          <w:sz w:val="32"/>
          <w:szCs w:val="32"/>
          <w:u w:val="single"/>
          <w:lang w:val="en-US" w:eastAsia="zh-CN"/>
        </w:rPr>
        <w:t>本行政</w:t>
      </w:r>
      <w:r>
        <w:rPr>
          <w:rFonts w:hint="eastAsia" w:ascii="仿宋_GB2312" w:hAnsi="仿宋_GB2312" w:eastAsia="仿宋_GB2312" w:cs="仿宋_GB2312"/>
          <w:bCs/>
          <w:color w:val="000000"/>
          <w:sz w:val="32"/>
          <w:szCs w:val="32"/>
          <w:u w:val="single"/>
        </w:rPr>
        <w:t>处罚决定书之日起</w:t>
      </w:r>
      <w:r>
        <w:rPr>
          <w:rFonts w:hint="eastAsia" w:ascii="仿宋_GB2312" w:hAnsi="仿宋_GB2312" w:eastAsia="仿宋_GB2312" w:cs="仿宋_GB2312"/>
          <w:bCs/>
          <w:color w:val="000000"/>
          <w:sz w:val="32"/>
          <w:szCs w:val="32"/>
          <w:u w:val="single"/>
          <w:lang w:val="en-US" w:eastAsia="zh-CN"/>
        </w:rPr>
        <w:t>十五</w:t>
      </w:r>
      <w:r>
        <w:rPr>
          <w:rFonts w:hint="eastAsia" w:ascii="仿宋_GB2312" w:hAnsi="仿宋_GB2312" w:eastAsia="仿宋_GB2312" w:cs="仿宋_GB2312"/>
          <w:bCs/>
          <w:color w:val="000000"/>
          <w:sz w:val="32"/>
          <w:szCs w:val="32"/>
          <w:u w:val="single"/>
        </w:rPr>
        <w:t>日内，到惠州大亚湾</w:t>
      </w:r>
      <w:r>
        <w:rPr>
          <w:rFonts w:hint="eastAsia" w:ascii="仿宋_GB2312" w:hAnsi="仿宋_GB2312" w:eastAsia="仿宋_GB2312" w:cs="仿宋_GB2312"/>
          <w:bCs/>
          <w:color w:val="000000"/>
          <w:sz w:val="32"/>
          <w:szCs w:val="32"/>
          <w:u w:val="single"/>
          <w:lang w:val="en-US" w:eastAsia="zh-CN"/>
        </w:rPr>
        <w:t>的中国银行、</w:t>
      </w:r>
      <w:r>
        <w:rPr>
          <w:rFonts w:hint="eastAsia" w:ascii="仿宋_GB2312" w:hAnsi="仿宋_GB2312" w:eastAsia="仿宋_GB2312" w:cs="仿宋_GB2312"/>
          <w:bCs/>
          <w:color w:val="000000"/>
          <w:sz w:val="32"/>
          <w:szCs w:val="32"/>
          <w:u w:val="single"/>
        </w:rPr>
        <w:t>建设银行、工商银行、农业银行</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lang w:val="en-US" w:eastAsia="zh-CN"/>
        </w:rPr>
        <w:t>农村商业银行的其中</w:t>
      </w:r>
      <w:r>
        <w:rPr>
          <w:rFonts w:hint="eastAsia" w:ascii="仿宋_GB2312" w:hAnsi="仿宋_GB2312" w:eastAsia="仿宋_GB2312" w:cs="仿宋_GB2312"/>
          <w:bCs/>
          <w:color w:val="000000"/>
          <w:sz w:val="32"/>
          <w:szCs w:val="32"/>
          <w:u w:val="single"/>
        </w:rPr>
        <w:t>一间银行缴纳罚款，或者使用大亚湾区市场监督管理局的POS机刷卡缴纳罚款。</w:t>
      </w:r>
      <w:r>
        <w:rPr>
          <w:rFonts w:hint="eastAsia" w:ascii="仿宋_GB2312" w:hAnsi="仿宋_GB2312" w:eastAsia="仿宋_GB2312" w:cs="仿宋_GB2312"/>
          <w:bCs/>
          <w:color w:val="000000"/>
          <w:sz w:val="32"/>
          <w:szCs w:val="32"/>
          <w:u w:val="single"/>
          <w:lang w:val="en-US" w:eastAsia="zh-CN"/>
        </w:rPr>
        <w:t>到期</w:t>
      </w:r>
      <w:r>
        <w:rPr>
          <w:rFonts w:hint="eastAsia" w:ascii="仿宋_GB2312" w:hAnsi="仿宋_GB2312" w:eastAsia="仿宋_GB2312" w:cs="仿宋_GB2312"/>
          <w:bCs/>
          <w:color w:val="000000"/>
          <w:sz w:val="32"/>
          <w:szCs w:val="32"/>
          <w:u w:val="single"/>
        </w:rPr>
        <w:t>不缴纳罚款的，</w:t>
      </w:r>
      <w:r>
        <w:rPr>
          <w:rFonts w:hint="eastAsia" w:ascii="仿宋_GB2312" w:hAnsi="仿宋_GB2312" w:eastAsia="仿宋_GB2312" w:cs="仿宋_GB2312"/>
          <w:bCs/>
          <w:color w:val="000000"/>
          <w:sz w:val="32"/>
          <w:szCs w:val="32"/>
          <w:u w:val="single"/>
          <w:lang w:val="en-US" w:eastAsia="zh-CN"/>
        </w:rPr>
        <w:t>依</w:t>
      </w:r>
      <w:r>
        <w:rPr>
          <w:rFonts w:hint="eastAsia" w:ascii="仿宋_GB2312" w:hAnsi="仿宋_GB2312" w:eastAsia="仿宋_GB2312" w:cs="仿宋_GB2312"/>
          <w:bCs/>
          <w:color w:val="000000"/>
          <w:sz w:val="32"/>
          <w:szCs w:val="32"/>
          <w:u w:val="single"/>
        </w:rPr>
        <w:t>据《中华人民共和国行政处罚法》第五十一条的规定，</w:t>
      </w:r>
      <w:r>
        <w:rPr>
          <w:rFonts w:hint="eastAsia" w:ascii="仿宋_GB2312" w:hAnsi="仿宋_GB2312" w:eastAsia="仿宋_GB2312" w:cs="仿宋_GB2312"/>
          <w:bCs/>
          <w:color w:val="000000"/>
          <w:sz w:val="32"/>
          <w:szCs w:val="32"/>
          <w:u w:val="single"/>
          <w:lang w:val="en-US" w:eastAsia="zh-CN"/>
        </w:rPr>
        <w:t>本局将</w:t>
      </w:r>
      <w:r>
        <w:rPr>
          <w:rFonts w:hint="eastAsia" w:ascii="仿宋_GB2312" w:hAnsi="仿宋_GB2312" w:eastAsia="仿宋_GB2312" w:cs="仿宋_GB2312"/>
          <w:bCs/>
          <w:color w:val="000000"/>
          <w:sz w:val="32"/>
          <w:szCs w:val="32"/>
          <w:u w:val="single"/>
        </w:rPr>
        <w:t>每日按罚款数额的</w:t>
      </w:r>
      <w:r>
        <w:rPr>
          <w:rFonts w:hint="eastAsia" w:ascii="仿宋_GB2312" w:hAnsi="仿宋_GB2312" w:eastAsia="仿宋_GB2312" w:cs="仿宋_GB2312"/>
          <w:bCs/>
          <w:color w:val="000000"/>
          <w:sz w:val="32"/>
          <w:szCs w:val="32"/>
          <w:u w:val="single"/>
          <w:lang w:val="en-US" w:eastAsia="zh-CN"/>
        </w:rPr>
        <w:t>百分之三</w:t>
      </w:r>
      <w:r>
        <w:rPr>
          <w:rFonts w:hint="eastAsia" w:ascii="仿宋_GB2312" w:hAnsi="仿宋_GB2312" w:eastAsia="仿宋_GB2312" w:cs="仿宋_GB2312"/>
          <w:bCs/>
          <w:color w:val="000000"/>
          <w:sz w:val="32"/>
          <w:szCs w:val="32"/>
          <w:u w:val="single"/>
        </w:rPr>
        <w:t>加处罚款，并依法申请人民法院强制执行。</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u w:val="single"/>
        </w:rPr>
        <w:t>如不服本</w:t>
      </w:r>
      <w:r>
        <w:rPr>
          <w:rFonts w:hint="eastAsia" w:ascii="仿宋_GB2312" w:hAnsi="仿宋_GB2312" w:eastAsia="仿宋_GB2312" w:cs="仿宋_GB2312"/>
          <w:bCs/>
          <w:color w:val="000000"/>
          <w:sz w:val="32"/>
          <w:szCs w:val="32"/>
          <w:u w:val="single"/>
          <w:lang w:eastAsia="zh-CN"/>
        </w:rPr>
        <w:t>不予</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w:t>
      </w:r>
      <w:r>
        <w:rPr>
          <w:rFonts w:hint="eastAsia" w:ascii="仿宋_GB2312" w:hAnsi="仿宋_GB2312" w:eastAsia="仿宋_GB2312" w:cs="仿宋_GB2312"/>
          <w:bCs/>
          <w:color w:val="000000"/>
          <w:sz w:val="32"/>
          <w:szCs w:val="32"/>
          <w:u w:val="single"/>
          <w:lang w:val="en-US" w:eastAsia="zh-CN"/>
        </w:rPr>
        <w:t>可以</w:t>
      </w:r>
      <w:r>
        <w:rPr>
          <w:rFonts w:hint="eastAsia" w:ascii="仿宋_GB2312" w:hAnsi="仿宋_GB2312" w:eastAsia="仿宋_GB2312" w:cs="仿宋_GB2312"/>
          <w:bCs/>
          <w:color w:val="000000"/>
          <w:sz w:val="32"/>
          <w:szCs w:val="32"/>
          <w:u w:val="single"/>
        </w:rPr>
        <w:t>在</w:t>
      </w:r>
      <w:r>
        <w:rPr>
          <w:rFonts w:hint="eastAsia" w:ascii="仿宋_GB2312" w:hAnsi="仿宋_GB2312" w:eastAsia="仿宋_GB2312" w:cs="仿宋_GB2312"/>
          <w:bCs/>
          <w:color w:val="000000"/>
          <w:sz w:val="32"/>
          <w:szCs w:val="32"/>
          <w:u w:val="single"/>
          <w:lang w:val="en-US" w:eastAsia="zh-CN"/>
        </w:rPr>
        <w:t>收</w:t>
      </w:r>
      <w:r>
        <w:rPr>
          <w:rFonts w:hint="eastAsia" w:ascii="仿宋_GB2312" w:hAnsi="仿宋_GB2312" w:eastAsia="仿宋_GB2312" w:cs="仿宋_GB2312"/>
          <w:bCs/>
          <w:color w:val="000000"/>
          <w:sz w:val="32"/>
          <w:szCs w:val="32"/>
          <w:u w:val="single"/>
        </w:rPr>
        <w:t>到本</w:t>
      </w:r>
      <w:r>
        <w:rPr>
          <w:rFonts w:hint="eastAsia" w:ascii="仿宋_GB2312" w:hAnsi="仿宋_GB2312" w:eastAsia="仿宋_GB2312" w:cs="仿宋_GB2312"/>
          <w:bCs/>
          <w:color w:val="000000"/>
          <w:sz w:val="32"/>
          <w:szCs w:val="32"/>
          <w:u w:val="single"/>
          <w:lang w:eastAsia="zh-CN"/>
        </w:rPr>
        <w:t>不予</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处罚决定书之日起</w:t>
      </w:r>
      <w:r>
        <w:rPr>
          <w:rFonts w:hint="eastAsia" w:ascii="仿宋_GB2312" w:hAnsi="仿宋_GB2312" w:eastAsia="仿宋_GB2312" w:cs="仿宋_GB2312"/>
          <w:bCs/>
          <w:color w:val="000000"/>
          <w:sz w:val="32"/>
          <w:szCs w:val="32"/>
          <w:u w:val="single"/>
          <w:lang w:val="en-US" w:eastAsia="zh-CN"/>
        </w:rPr>
        <w:t>六十</w:t>
      </w:r>
      <w:r>
        <w:rPr>
          <w:rFonts w:hint="eastAsia" w:ascii="仿宋_GB2312" w:hAnsi="仿宋_GB2312" w:eastAsia="仿宋_GB2312" w:cs="仿宋_GB2312"/>
          <w:bCs/>
          <w:color w:val="000000"/>
          <w:sz w:val="32"/>
          <w:szCs w:val="32"/>
          <w:u w:val="single"/>
        </w:rPr>
        <w:t>日内向惠州大亚湾经济技术开发区管理委员会</w:t>
      </w:r>
      <w:r>
        <w:rPr>
          <w:rFonts w:hint="eastAsia" w:ascii="仿宋_GB2312" w:hAnsi="仿宋_GB2312" w:eastAsia="仿宋_GB2312" w:cs="仿宋_GB2312"/>
          <w:bCs/>
          <w:color w:val="000000"/>
          <w:sz w:val="32"/>
          <w:szCs w:val="32"/>
          <w:u w:val="single"/>
          <w:lang w:val="en-US" w:eastAsia="zh-CN"/>
        </w:rPr>
        <w:t>或者</w:t>
      </w:r>
      <w:r>
        <w:rPr>
          <w:rFonts w:hint="eastAsia" w:ascii="仿宋_GB2312" w:hAnsi="仿宋_GB2312" w:eastAsia="仿宋_GB2312" w:cs="仿宋_GB2312"/>
          <w:bCs/>
          <w:color w:val="000000"/>
          <w:sz w:val="32"/>
          <w:szCs w:val="32"/>
          <w:u w:val="single"/>
        </w:rPr>
        <w:t>惠州市市场监督管理局申请行政复议</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rPr>
        <w:t>也</w:t>
      </w:r>
      <w:r>
        <w:rPr>
          <w:rFonts w:hint="eastAsia" w:ascii="仿宋_GB2312" w:hAnsi="仿宋_GB2312" w:eastAsia="仿宋_GB2312" w:cs="仿宋_GB2312"/>
          <w:bCs/>
          <w:color w:val="000000"/>
          <w:sz w:val="32"/>
          <w:szCs w:val="32"/>
          <w:u w:val="single"/>
          <w:lang w:val="en-US" w:eastAsia="zh-CN"/>
        </w:rPr>
        <w:t>可以在六</w:t>
      </w:r>
      <w:r>
        <w:rPr>
          <w:rFonts w:hint="eastAsia" w:ascii="仿宋_GB2312" w:hAnsi="仿宋_GB2312" w:eastAsia="仿宋_GB2312" w:cs="仿宋_GB2312"/>
          <w:bCs/>
          <w:color w:val="000000"/>
          <w:sz w:val="32"/>
          <w:szCs w:val="32"/>
          <w:u w:val="single"/>
        </w:rPr>
        <w:t>个月内</w:t>
      </w:r>
      <w:r>
        <w:rPr>
          <w:rFonts w:hint="eastAsia" w:ascii="仿宋_GB2312" w:hAnsi="仿宋_GB2312" w:eastAsia="仿宋_GB2312" w:cs="仿宋_GB2312"/>
          <w:bCs/>
          <w:color w:val="000000"/>
          <w:sz w:val="32"/>
          <w:szCs w:val="32"/>
          <w:u w:val="single"/>
          <w:lang w:val="en-US" w:eastAsia="zh-CN"/>
        </w:rPr>
        <w:t>依法</w:t>
      </w:r>
      <w:r>
        <w:rPr>
          <w:rFonts w:hint="eastAsia" w:ascii="仿宋_GB2312" w:hAnsi="仿宋_GB2312" w:eastAsia="仿宋_GB2312" w:cs="仿宋_GB2312"/>
          <w:bCs/>
          <w:color w:val="000000"/>
          <w:sz w:val="32"/>
          <w:szCs w:val="32"/>
          <w:u w:val="single"/>
        </w:rPr>
        <w:t>向博罗县人民法院提起行政诉讼。</w:t>
      </w:r>
    </w:p>
    <w:p>
      <w:pPr>
        <w:keepNext w:val="0"/>
        <w:keepLines w:val="0"/>
        <w:pageBreakBefore w:val="0"/>
        <w:widowControl w:val="0"/>
        <w:kinsoku/>
        <w:overflowPunct/>
        <w:topLinePunct w:val="0"/>
        <w:autoSpaceDE/>
        <w:autoSpaceDN/>
        <w:bidi w:val="0"/>
        <w:adjustRightInd/>
        <w:spacing w:line="460" w:lineRule="exact"/>
        <w:ind w:firstLine="601"/>
        <w:jc w:val="center"/>
        <w:textAlignment w:val="auto"/>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rPr>
        <w:t xml:space="preserve">           </w:t>
      </w:r>
      <w:r>
        <w:rPr>
          <w:rFonts w:hint="eastAsia" w:ascii="仿宋_GB2312" w:hAnsi="仿宋_GB2312" w:eastAsia="仿宋_GB2312" w:cs="仿宋_GB2312"/>
          <w:color w:val="000000"/>
          <w:sz w:val="32"/>
          <w:szCs w:val="32"/>
          <w:u w:val="none"/>
          <w:lang w:val="en-US" w:eastAsia="zh-CN"/>
        </w:rPr>
        <w:t xml:space="preserve"> </w:t>
      </w:r>
    </w:p>
    <w:p>
      <w:pPr>
        <w:keepNext w:val="0"/>
        <w:keepLines w:val="0"/>
        <w:pageBreakBefore w:val="0"/>
        <w:widowControl w:val="0"/>
        <w:kinsoku/>
        <w:overflowPunct/>
        <w:topLinePunct w:val="0"/>
        <w:autoSpaceDE/>
        <w:autoSpaceDN/>
        <w:bidi w:val="0"/>
        <w:adjustRightInd/>
        <w:spacing w:line="460" w:lineRule="exact"/>
        <w:ind w:firstLine="601"/>
        <w:jc w:val="center"/>
        <w:textAlignment w:val="auto"/>
        <w:rPr>
          <w:rFonts w:hint="eastAsia" w:ascii="仿宋_GB2312" w:hAnsi="仿宋_GB2312" w:eastAsia="仿宋_GB2312" w:cs="仿宋_GB2312"/>
          <w:color w:val="000000"/>
          <w:sz w:val="32"/>
          <w:szCs w:val="32"/>
          <w:u w:val="none"/>
          <w:lang w:val="en-US" w:eastAsia="zh-CN"/>
        </w:rPr>
      </w:pPr>
    </w:p>
    <w:p>
      <w:pPr>
        <w:keepNext w:val="0"/>
        <w:keepLines w:val="0"/>
        <w:pageBreakBefore w:val="0"/>
        <w:widowControl w:val="0"/>
        <w:kinsoku/>
        <w:overflowPunct/>
        <w:topLinePunct w:val="0"/>
        <w:autoSpaceDE/>
        <w:autoSpaceDN/>
        <w:bidi w:val="0"/>
        <w:adjustRightInd/>
        <w:spacing w:line="460" w:lineRule="exact"/>
        <w:ind w:firstLine="601"/>
        <w:jc w:val="center"/>
        <w:textAlignment w:val="auto"/>
        <w:rPr>
          <w:rFonts w:hint="eastAsia" w:ascii="仿宋_GB2312" w:hAnsi="仿宋_GB2312" w:eastAsia="仿宋_GB2312" w:cs="仿宋_GB2312"/>
          <w:color w:val="000000"/>
          <w:sz w:val="32"/>
          <w:szCs w:val="32"/>
          <w:u w:val="none"/>
          <w:lang w:val="en-US" w:eastAsia="zh-CN"/>
        </w:rPr>
      </w:pPr>
    </w:p>
    <w:p>
      <w:pPr>
        <w:keepNext w:val="0"/>
        <w:keepLines w:val="0"/>
        <w:pageBreakBefore w:val="0"/>
        <w:widowControl w:val="0"/>
        <w:kinsoku/>
        <w:overflowPunct/>
        <w:topLinePunct w:val="0"/>
        <w:autoSpaceDE/>
        <w:autoSpaceDN/>
        <w:bidi w:val="0"/>
        <w:adjustRightInd/>
        <w:spacing w:line="460" w:lineRule="exact"/>
        <w:ind w:firstLine="601"/>
        <w:jc w:val="center"/>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460" w:lineRule="exact"/>
        <w:ind w:right="640"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2021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28</w:t>
      </w:r>
      <w:r>
        <w:rPr>
          <w:rFonts w:hint="eastAsia" w:ascii="仿宋_GB2312" w:hAnsi="仿宋_GB2312" w:eastAsia="仿宋_GB2312" w:cs="仿宋_GB2312"/>
          <w:color w:val="000000"/>
          <w:sz w:val="32"/>
          <w:szCs w:val="32"/>
        </w:rPr>
        <w:t>日</w:t>
      </w: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bookmarkStart w:id="0" w:name="_GoBack"/>
      <w:bookmarkEnd w:id="0"/>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val="0"/>
        <w:overflowPunct/>
        <w:topLinePunct w:val="0"/>
        <w:autoSpaceDE/>
        <w:autoSpaceDN/>
        <w:bidi w:val="0"/>
        <w:adjustRightInd/>
        <w:snapToGrid w:val="0"/>
        <w:spacing w:line="460" w:lineRule="exact"/>
        <w:jc w:val="center"/>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val="0"/>
          <w:bCs w:val="0"/>
          <w:color w:val="000000"/>
          <w:sz w:val="32"/>
          <w:szCs w:val="32"/>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46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4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仿宋_GB2312" w:hAnsi="仿宋_GB2312" w:eastAsia="仿宋_GB2312" w:cs="仿宋_GB2312"/>
          <w:color w:val="000000"/>
          <w:sz w:val="32"/>
          <w:szCs w:val="32"/>
          <w:u w:val="none"/>
        </w:rPr>
        <w:t>本文书一式</w:t>
      </w:r>
      <w:r>
        <w:rPr>
          <w:rFonts w:hint="eastAsia" w:ascii="仿宋_GB2312" w:hAnsi="仿宋_GB2312" w:eastAsia="仿宋_GB2312" w:cs="仿宋_GB2312"/>
          <w:color w:val="000000"/>
          <w:sz w:val="32"/>
          <w:szCs w:val="32"/>
          <w:u w:val="none"/>
          <w:lang w:val="en-US" w:eastAsia="zh-CN"/>
        </w:rPr>
        <w:t>两</w:t>
      </w:r>
      <w:r>
        <w:rPr>
          <w:rFonts w:hint="eastAsia" w:ascii="仿宋_GB2312" w:hAnsi="仿宋_GB2312" w:eastAsia="仿宋_GB2312" w:cs="仿宋_GB2312"/>
          <w:color w:val="000000"/>
          <w:sz w:val="32"/>
          <w:szCs w:val="32"/>
          <w:u w:val="none"/>
        </w:rPr>
        <w:t>份，</w:t>
      </w:r>
      <w:r>
        <w:rPr>
          <w:rFonts w:hint="eastAsia" w:ascii="仿宋_GB2312" w:hAnsi="仿宋_GB2312" w:eastAsia="仿宋_GB2312" w:cs="仿宋_GB2312"/>
          <w:color w:val="000000"/>
          <w:sz w:val="32"/>
          <w:szCs w:val="32"/>
          <w:u w:val="none"/>
          <w:lang w:val="en-US" w:eastAsia="zh-CN"/>
        </w:rPr>
        <w:t>一</w:t>
      </w:r>
      <w:r>
        <w:rPr>
          <w:rFonts w:hint="eastAsia" w:ascii="仿宋_GB2312" w:hAnsi="仿宋_GB2312" w:eastAsia="仿宋_GB2312" w:cs="仿宋_GB2312"/>
          <w:color w:val="000000"/>
          <w:sz w:val="32"/>
          <w:szCs w:val="32"/>
          <w:u w:val="none"/>
        </w:rPr>
        <w:t>份送达，一</w:t>
      </w:r>
      <w:r>
        <w:rPr>
          <w:rFonts w:hint="eastAsia" w:ascii="仿宋_GB2312" w:hAnsi="仿宋_GB2312" w:eastAsia="仿宋_GB2312" w:cs="仿宋_GB2312"/>
          <w:color w:val="000000"/>
          <w:sz w:val="32"/>
          <w:szCs w:val="32"/>
        </w:rPr>
        <w:t>份归档。</w:t>
      </w:r>
    </w:p>
    <w:sectPr>
      <w:footerReference r:id="rId3" w:type="default"/>
      <w:pgSz w:w="11906" w:h="16838"/>
      <w:pgMar w:top="1440" w:right="1559" w:bottom="1383"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0B5425C"/>
    <w:rsid w:val="01D7747A"/>
    <w:rsid w:val="02521E84"/>
    <w:rsid w:val="0273483D"/>
    <w:rsid w:val="02F11640"/>
    <w:rsid w:val="042E3625"/>
    <w:rsid w:val="05193218"/>
    <w:rsid w:val="05EC6C5F"/>
    <w:rsid w:val="0AB8293D"/>
    <w:rsid w:val="0AF00C98"/>
    <w:rsid w:val="0B581F25"/>
    <w:rsid w:val="0F0C4DEC"/>
    <w:rsid w:val="0FAD29E8"/>
    <w:rsid w:val="103E3AEB"/>
    <w:rsid w:val="10B300C4"/>
    <w:rsid w:val="14AF674D"/>
    <w:rsid w:val="15DF5E21"/>
    <w:rsid w:val="17FA7F46"/>
    <w:rsid w:val="18E660FD"/>
    <w:rsid w:val="195C4FE6"/>
    <w:rsid w:val="1962136F"/>
    <w:rsid w:val="1A0944E2"/>
    <w:rsid w:val="1D5C3938"/>
    <w:rsid w:val="1DCE7FF2"/>
    <w:rsid w:val="1E1352C7"/>
    <w:rsid w:val="20AB2CE9"/>
    <w:rsid w:val="23995537"/>
    <w:rsid w:val="23B66E4D"/>
    <w:rsid w:val="241E30B3"/>
    <w:rsid w:val="273E7C4B"/>
    <w:rsid w:val="277B6956"/>
    <w:rsid w:val="292674AF"/>
    <w:rsid w:val="2B8405F2"/>
    <w:rsid w:val="2CAD0916"/>
    <w:rsid w:val="30822D9F"/>
    <w:rsid w:val="319F3384"/>
    <w:rsid w:val="322C7EDF"/>
    <w:rsid w:val="33F956AE"/>
    <w:rsid w:val="341D375A"/>
    <w:rsid w:val="348274E3"/>
    <w:rsid w:val="35BA74B5"/>
    <w:rsid w:val="365C0E67"/>
    <w:rsid w:val="38912164"/>
    <w:rsid w:val="39EF22F8"/>
    <w:rsid w:val="3AF33710"/>
    <w:rsid w:val="3C5C07C7"/>
    <w:rsid w:val="3D51448E"/>
    <w:rsid w:val="3E7C56BE"/>
    <w:rsid w:val="41E233FC"/>
    <w:rsid w:val="41FF2BF6"/>
    <w:rsid w:val="45137767"/>
    <w:rsid w:val="45657E3A"/>
    <w:rsid w:val="45C4057E"/>
    <w:rsid w:val="477F0868"/>
    <w:rsid w:val="4C391BEE"/>
    <w:rsid w:val="4D097B45"/>
    <w:rsid w:val="4D144A3D"/>
    <w:rsid w:val="4E345BE0"/>
    <w:rsid w:val="4F7272AB"/>
    <w:rsid w:val="528F6ABE"/>
    <w:rsid w:val="53A03DC0"/>
    <w:rsid w:val="547C23D2"/>
    <w:rsid w:val="55B06CD9"/>
    <w:rsid w:val="56F44DF0"/>
    <w:rsid w:val="58411DDC"/>
    <w:rsid w:val="58EC2BBF"/>
    <w:rsid w:val="5C7718BD"/>
    <w:rsid w:val="5C954664"/>
    <w:rsid w:val="5E120DAE"/>
    <w:rsid w:val="60486BD9"/>
    <w:rsid w:val="609020B1"/>
    <w:rsid w:val="60EF242C"/>
    <w:rsid w:val="61B822E0"/>
    <w:rsid w:val="625426F7"/>
    <w:rsid w:val="63E94992"/>
    <w:rsid w:val="67376857"/>
    <w:rsid w:val="68DE7694"/>
    <w:rsid w:val="697D2051"/>
    <w:rsid w:val="6C597479"/>
    <w:rsid w:val="6D336AA1"/>
    <w:rsid w:val="6E721FDF"/>
    <w:rsid w:val="708D0265"/>
    <w:rsid w:val="749F1D4C"/>
    <w:rsid w:val="767C65F2"/>
    <w:rsid w:val="771947BE"/>
    <w:rsid w:val="77330C82"/>
    <w:rsid w:val="793A2167"/>
    <w:rsid w:val="7B5845DD"/>
    <w:rsid w:val="7CA73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color w:val="FFFF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2021-04-22T08:54:00Z</cp:lastPrinted>
  <dcterms:modified xsi:type="dcterms:W3CDTF">2021-06-22T06:44:14Z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