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288" w:lineRule="auto"/>
        <w:jc w:val="center"/>
        <w:rPr>
          <w:rFonts w:ascii="Times New Roman" w:hAnsi="Times New Roman" w:eastAsia="方正小标宋简体" w:cs="方正小标宋简体"/>
          <w:color w:val="000000"/>
          <w:sz w:val="44"/>
          <w:szCs w:val="44"/>
        </w:rPr>
      </w:pPr>
      <w:r>
        <w:rPr>
          <w:rFonts w:hint="eastAsia" w:ascii="Times New Roman" w:hAnsi="Times New Roman" w:eastAsia="方正小标宋简体" w:cs="方正小标宋简体"/>
          <w:bCs/>
          <w:color w:val="000000"/>
          <w:sz w:val="44"/>
          <w:szCs w:val="44"/>
        </w:rPr>
        <w:t>惠州大亚湾经济技术开发区市场监督管理局</w:t>
      </w:r>
    </w:p>
    <w:p>
      <w:pPr>
        <w:snapToGrid w:val="0"/>
        <w:spacing w:line="288" w:lineRule="auto"/>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行政处罚决定书</w:t>
      </w:r>
    </w:p>
    <w:p>
      <w:pPr>
        <w:snapToGrid w:val="0"/>
        <w:spacing w:line="288" w:lineRule="auto"/>
        <w:jc w:val="center"/>
        <w:rPr>
          <w:rFonts w:ascii="仿宋_GB2312" w:hAnsi="Times New Roman" w:eastAsia="仿宋_GB2312" w:cs="仿宋"/>
          <w:color w:val="000000"/>
          <w:sz w:val="32"/>
          <w:szCs w:val="32"/>
        </w:rPr>
      </w:pPr>
      <w:r>
        <w:rPr>
          <w:rFonts w:hint="eastAsia" w:ascii="仿宋_GB2312" w:hAnsi="Times New Roman" w:eastAsia="仿宋_GB2312" w:cs="仿宋"/>
          <w:color w:val="000000"/>
          <w:sz w:val="32"/>
          <w:szCs w:val="32"/>
        </w:rPr>
        <mc:AlternateContent>
          <mc:Choice Requires="wps">
            <w:drawing>
              <wp:anchor distT="0" distB="0" distL="114300" distR="114300" simplePos="0" relativeHeight="251659264" behindDoc="0" locked="0" layoutInCell="1" allowOverlap="1">
                <wp:simplePos x="0" y="0"/>
                <wp:positionH relativeFrom="column">
                  <wp:posOffset>25400</wp:posOffset>
                </wp:positionH>
                <wp:positionV relativeFrom="paragraph">
                  <wp:posOffset>20802600</wp:posOffset>
                </wp:positionV>
                <wp:extent cx="5761990" cy="1270"/>
                <wp:effectExtent l="9525" t="9525" r="19685" b="17780"/>
                <wp:wrapNone/>
                <wp:docPr id="10" name="直接箭头连接符 10"/>
                <wp:cNvGraphicFramePr/>
                <a:graphic xmlns:a="http://schemas.openxmlformats.org/drawingml/2006/main">
                  <a:graphicData uri="http://schemas.microsoft.com/office/word/2010/wordprocessingShape">
                    <wps:wsp>
                      <wps:cNvCnPr/>
                      <wps:spPr>
                        <a:xfrm>
                          <a:off x="0" y="0"/>
                          <a:ext cx="5761990" cy="1270"/>
                        </a:xfrm>
                        <a:prstGeom prst="straightConnector1">
                          <a:avLst/>
                        </a:prstGeom>
                        <a:ln w="19050" cap="sq"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pt;margin-top:1638pt;height:0.1pt;width:453.7pt;z-index:251659264;mso-width-relative:page;mso-height-relative:page;" filled="f" stroked="t" coordsize="21600,21600" o:gfxdata="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teKJra&#10;AAAACwEAAA8AAAAAAAAAAQAgAAAAIgAAAGRycy9kb3ducmV2LnhtbFBLAQIUABQAAAAIAIdO4kDj&#10;x/DE5QEAAKIDAAAOAAAAAAAAAAEAIAAAACkBAABkcnMvZTJvRG9jLnhtbFBLBQYAAAAABgAGAFkB&#10;AACABQAAAAA=&#10;">
                <v:fill on="f" focussize="0,0"/>
                <v:stroke weight="1.5pt" color="#000000" joinstyle="round" endcap="square"/>
                <v:imagedata o:title=""/>
                <o:lock v:ext="edit" aspectratio="f"/>
              </v:shape>
            </w:pict>
          </mc:Fallback>
        </mc:AlternateContent>
      </w:r>
      <w:r>
        <w:rPr>
          <w:rFonts w:hint="eastAsia" w:ascii="仿宋_GB2312" w:hAnsi="Times New Roman" w:eastAsia="仿宋_GB2312" w:cs="仿宋"/>
          <w:color w:val="000000"/>
          <w:sz w:val="32"/>
          <w:szCs w:val="32"/>
          <w:u w:val="single"/>
        </w:rPr>
        <w:t>惠湾</w:t>
      </w:r>
      <w:r>
        <w:rPr>
          <w:rFonts w:hint="eastAsia" w:ascii="仿宋_GB2312" w:hAnsi="Times New Roman" w:eastAsia="仿宋_GB2312" w:cs="仿宋"/>
          <w:color w:val="000000"/>
          <w:sz w:val="32"/>
          <w:szCs w:val="32"/>
        </w:rPr>
        <w:t>市监</w:t>
      </w:r>
      <w:r>
        <w:rPr>
          <w:rFonts w:hint="eastAsia" w:ascii="仿宋_GB2312" w:hAnsi="Times New Roman" w:eastAsia="仿宋_GB2312" w:cs="仿宋"/>
          <w:color w:val="000000"/>
          <w:sz w:val="32"/>
          <w:szCs w:val="32"/>
          <w:u w:val="single"/>
        </w:rPr>
        <w:t>西处字</w:t>
      </w:r>
      <w:r>
        <w:rPr>
          <w:rFonts w:hint="eastAsia" w:ascii="仿宋_GB2312" w:hAnsi="Times New Roman" w:eastAsia="仿宋_GB2312" w:cs="仿宋"/>
          <w:color w:val="000000"/>
          <w:sz w:val="32"/>
          <w:szCs w:val="32"/>
        </w:rPr>
        <w:t>〔</w:t>
      </w:r>
      <w:r>
        <w:rPr>
          <w:rFonts w:hint="eastAsia" w:ascii="仿宋_GB2312" w:hAnsi="Times New Roman" w:eastAsia="仿宋_GB2312" w:cs="仿宋"/>
          <w:color w:val="000000"/>
          <w:sz w:val="32"/>
          <w:szCs w:val="32"/>
          <w:u w:val="single"/>
        </w:rPr>
        <w:t>202</w:t>
      </w:r>
      <w:r>
        <w:rPr>
          <w:rFonts w:ascii="仿宋_GB2312" w:hAnsi="Times New Roman" w:eastAsia="仿宋_GB2312" w:cs="仿宋"/>
          <w:color w:val="000000"/>
          <w:sz w:val="32"/>
          <w:szCs w:val="32"/>
          <w:u w:val="single"/>
        </w:rPr>
        <w:t>1</w:t>
      </w:r>
      <w:r>
        <w:rPr>
          <w:rFonts w:hint="eastAsia" w:ascii="仿宋_GB2312" w:hAnsi="Times New Roman" w:eastAsia="仿宋_GB2312" w:cs="仿宋"/>
          <w:color w:val="000000"/>
          <w:sz w:val="32"/>
          <w:szCs w:val="32"/>
        </w:rPr>
        <w:t>〕</w:t>
      </w:r>
      <w:r>
        <w:rPr>
          <w:rFonts w:ascii="仿宋_GB2312" w:hAnsi="Times New Roman" w:eastAsia="仿宋_GB2312" w:cs="仿宋"/>
          <w:color w:val="000000"/>
          <w:sz w:val="32"/>
          <w:szCs w:val="32"/>
          <w:u w:val="single"/>
        </w:rPr>
        <w:t>20</w:t>
      </w:r>
      <w:r>
        <w:rPr>
          <w:rFonts w:hint="eastAsia" w:ascii="仿宋_GB2312" w:hAnsi="Times New Roman" w:eastAsia="仿宋_GB2312" w:cs="仿宋"/>
          <w:color w:val="000000"/>
          <w:sz w:val="32"/>
          <w:szCs w:val="32"/>
        </w:rPr>
        <w:t>号</w:t>
      </w:r>
    </w:p>
    <w:p>
      <w:pPr>
        <w:snapToGrid w:val="0"/>
        <w:spacing w:line="288" w:lineRule="auto"/>
        <w:rPr>
          <w:rFonts w:ascii="仿宋_GB2312" w:hAnsi="Times New Roman" w:eastAsia="仿宋_GB2312" w:cs="Mongolian Baiti"/>
          <w:sz w:val="32"/>
          <w:szCs w:val="32"/>
        </w:rPr>
      </w:pPr>
      <w:r>
        <w:rPr>
          <w:rFonts w:hint="eastAsia" w:ascii="仿宋_GB2312" w:hAnsi="Times New Roman" w:eastAsia="仿宋_GB2312" w:cs="微软雅黑"/>
          <w:kern w:val="1"/>
          <w:sz w:val="32"/>
          <w:szCs w:val="32"/>
        </w:rPr>
        <w:t>当事人</w:t>
      </w:r>
      <w:r>
        <w:rPr>
          <w:rFonts w:hint="eastAsia" w:ascii="仿宋_GB2312" w:hAnsi="Times New Roman" w:eastAsia="仿宋_GB2312" w:cs="Mongolian Baiti"/>
          <w:kern w:val="1"/>
          <w:sz w:val="32"/>
          <w:szCs w:val="32"/>
        </w:rPr>
        <w:t>：</w:t>
      </w:r>
      <w:r>
        <w:rPr>
          <w:rFonts w:hint="eastAsia" w:ascii="仿宋" w:hAnsi="仿宋" w:eastAsia="仿宋" w:cs="仿宋_GB2312"/>
          <w:sz w:val="32"/>
          <w:szCs w:val="32"/>
          <w:u w:val="single"/>
        </w:rPr>
        <w:t>惠州大亚湾圳瑜副食商店（经营者：温圳瑜）</w:t>
      </w:r>
      <w:r>
        <w:rPr>
          <w:rFonts w:hint="eastAsia" w:ascii="仿宋_GB2312" w:hAnsi="Times New Roman" w:eastAsia="仿宋_GB2312" w:cs="Mongolian Baiti"/>
          <w:kern w:val="1"/>
          <w:sz w:val="32"/>
          <w:szCs w:val="32"/>
          <w:u w:val="single"/>
        </w:rPr>
        <w:t xml:space="preserve">      </w:t>
      </w:r>
      <w:r>
        <w:rPr>
          <w:rFonts w:ascii="仿宋_GB2312" w:hAnsi="Times New Roman" w:eastAsia="仿宋_GB2312" w:cs="Mongolian Baiti"/>
          <w:kern w:val="1"/>
          <w:sz w:val="32"/>
          <w:szCs w:val="32"/>
          <w:u w:val="single"/>
        </w:rPr>
        <w:t xml:space="preserve"> </w:t>
      </w:r>
    </w:p>
    <w:p>
      <w:pPr>
        <w:snapToGrid w:val="0"/>
        <w:spacing w:line="288" w:lineRule="auto"/>
        <w:rPr>
          <w:rFonts w:ascii="仿宋_GB2312" w:hAnsi="Times New Roman" w:eastAsia="仿宋_GB2312" w:cs="Mongolian Baiti"/>
          <w:kern w:val="1"/>
          <w:sz w:val="32"/>
          <w:szCs w:val="32"/>
          <w:u w:val="single"/>
        </w:rPr>
      </w:pPr>
      <w:r>
        <w:rPr>
          <w:rFonts w:hint="eastAsia" w:ascii="仿宋_GB2312" w:hAnsi="Times New Roman" w:eastAsia="仿宋_GB2312" w:cs="Mongolian Baiti"/>
          <w:kern w:val="1"/>
          <w:sz w:val="32"/>
          <w:szCs w:val="32"/>
        </w:rPr>
        <w:t>主体资格证照名称：</w:t>
      </w:r>
      <w:r>
        <w:rPr>
          <w:rFonts w:hint="eastAsia" w:ascii="仿宋_GB2312" w:hAnsi="Times New Roman" w:eastAsia="仿宋_GB2312" w:cs="Mongolian Baiti"/>
          <w:kern w:val="1"/>
          <w:sz w:val="32"/>
          <w:szCs w:val="32"/>
          <w:u w:val="single"/>
        </w:rPr>
        <w:t xml:space="preserve">营业执照                       </w:t>
      </w:r>
      <w:r>
        <w:rPr>
          <w:rFonts w:ascii="仿宋_GB2312" w:hAnsi="Times New Roman" w:eastAsia="仿宋_GB2312" w:cs="Mongolian Baiti"/>
          <w:kern w:val="1"/>
          <w:sz w:val="32"/>
          <w:szCs w:val="32"/>
          <w:u w:val="single"/>
        </w:rPr>
        <w:t xml:space="preserve"> </w:t>
      </w:r>
      <w:r>
        <w:rPr>
          <w:rFonts w:hint="eastAsia" w:ascii="仿宋_GB2312" w:hAnsi="Times New Roman" w:eastAsia="仿宋_GB2312" w:cs="Mongolian Baiti"/>
          <w:kern w:val="1"/>
          <w:sz w:val="32"/>
          <w:szCs w:val="32"/>
          <w:u w:val="single"/>
        </w:rPr>
        <w:t xml:space="preserve">     </w:t>
      </w:r>
    </w:p>
    <w:p>
      <w:pPr>
        <w:snapToGrid w:val="0"/>
        <w:spacing w:line="288" w:lineRule="auto"/>
        <w:rPr>
          <w:rFonts w:ascii="仿宋_GB2312" w:hAnsi="Times New Roman" w:eastAsia="仿宋_GB2312" w:cs="Mongolian Baiti"/>
          <w:kern w:val="1"/>
          <w:sz w:val="32"/>
          <w:szCs w:val="32"/>
          <w:u w:val="single"/>
        </w:rPr>
      </w:pPr>
      <w:r>
        <w:rPr>
          <w:rFonts w:hint="eastAsia" w:ascii="仿宋_GB2312" w:hAnsi="Times New Roman" w:eastAsia="仿宋_GB2312" w:cs="Mongolian Baiti"/>
          <w:kern w:val="1"/>
          <w:sz w:val="32"/>
          <w:szCs w:val="32"/>
        </w:rPr>
        <w:t>统一社会信用代码（注册号）：</w:t>
      </w:r>
      <w:r>
        <w:rPr>
          <w:rFonts w:ascii="仿宋" w:hAnsi="仿宋" w:eastAsia="仿宋" w:cs="仿宋_GB2312"/>
          <w:sz w:val="32"/>
          <w:szCs w:val="32"/>
          <w:u w:val="single"/>
        </w:rPr>
        <w:t>92441300L618929499</w:t>
      </w:r>
      <w:r>
        <w:rPr>
          <w:rFonts w:ascii="仿宋_GB2312" w:hAnsi="Times New Roman" w:eastAsia="仿宋_GB2312" w:cs="Mongolian Baiti"/>
          <w:kern w:val="1"/>
          <w:sz w:val="32"/>
          <w:szCs w:val="32"/>
          <w:u w:val="single"/>
        </w:rPr>
        <w:t xml:space="preserve"> </w:t>
      </w:r>
      <w:r>
        <w:rPr>
          <w:rFonts w:hint="eastAsia" w:ascii="仿宋_GB2312" w:hAnsi="Times New Roman" w:eastAsia="仿宋_GB2312" w:cs="Mongolian Baiti"/>
          <w:kern w:val="1"/>
          <w:sz w:val="32"/>
          <w:szCs w:val="32"/>
          <w:u w:val="single"/>
        </w:rPr>
        <w:t xml:space="preserve">    </w:t>
      </w:r>
      <w:r>
        <w:rPr>
          <w:rFonts w:ascii="仿宋_GB2312" w:hAnsi="Times New Roman" w:eastAsia="仿宋_GB2312" w:cs="Mongolian Baiti"/>
          <w:kern w:val="1"/>
          <w:sz w:val="32"/>
          <w:szCs w:val="32"/>
          <w:u w:val="single"/>
        </w:rPr>
        <w:t xml:space="preserve">  </w:t>
      </w:r>
      <w:r>
        <w:rPr>
          <w:rFonts w:hint="eastAsia" w:ascii="仿宋_GB2312" w:hAnsi="Times New Roman" w:eastAsia="仿宋_GB2312" w:cs="Mongolian Baiti"/>
          <w:kern w:val="1"/>
          <w:sz w:val="32"/>
          <w:szCs w:val="32"/>
          <w:u w:val="single"/>
        </w:rPr>
        <w:t xml:space="preserve">   </w:t>
      </w:r>
    </w:p>
    <w:p>
      <w:pPr>
        <w:snapToGrid w:val="0"/>
        <w:spacing w:line="288" w:lineRule="auto"/>
        <w:rPr>
          <w:rFonts w:ascii="仿宋_GB2312" w:hAnsi="Times New Roman" w:eastAsia="仿宋_GB2312" w:cs="Mongolian Baiti"/>
          <w:kern w:val="1"/>
          <w:sz w:val="32"/>
          <w:szCs w:val="32"/>
          <w:u w:val="single"/>
        </w:rPr>
      </w:pPr>
      <w:r>
        <w:rPr>
          <w:rFonts w:hint="eastAsia" w:ascii="仿宋_GB2312" w:hAnsi="Times New Roman" w:eastAsia="仿宋_GB2312" w:cs="Mongolian Baiti"/>
          <w:kern w:val="1"/>
          <w:sz w:val="32"/>
          <w:szCs w:val="32"/>
        </w:rPr>
        <w:t>住所（住址）：</w:t>
      </w:r>
      <w:r>
        <w:rPr>
          <w:rFonts w:hint="eastAsia" w:ascii="仿宋_GB2312" w:hAnsi="Times New Roman" w:eastAsia="仿宋_GB2312" w:cs="Mongolian Baiti"/>
          <w:kern w:val="1"/>
          <w:sz w:val="32"/>
          <w:szCs w:val="32"/>
          <w:u w:val="single"/>
        </w:rPr>
        <w:t>惠州大亚湾西区新寮市场</w:t>
      </w:r>
      <w:r>
        <w:rPr>
          <w:rFonts w:ascii="仿宋_GB2312" w:hAnsi="Times New Roman" w:eastAsia="仿宋_GB2312" w:cs="Mongolian Baiti"/>
          <w:kern w:val="1"/>
          <w:sz w:val="32"/>
          <w:szCs w:val="32"/>
          <w:u w:val="single"/>
        </w:rPr>
        <w:t xml:space="preserve">         </w:t>
      </w:r>
      <w:r>
        <w:rPr>
          <w:rFonts w:hint="eastAsia" w:ascii="仿宋_GB2312" w:hAnsi="Times New Roman" w:eastAsia="仿宋_GB2312" w:cs="Mongolian Baiti"/>
          <w:kern w:val="1"/>
          <w:sz w:val="32"/>
          <w:szCs w:val="32"/>
          <w:u w:val="single"/>
        </w:rPr>
        <w:t xml:space="preserve">           </w:t>
      </w:r>
    </w:p>
    <w:p>
      <w:pPr>
        <w:snapToGrid w:val="0"/>
        <w:spacing w:line="288" w:lineRule="auto"/>
        <w:rPr>
          <w:rFonts w:ascii="仿宋_GB2312" w:hAnsi="Times New Roman" w:eastAsia="仿宋_GB2312" w:cs="Mongolian Baiti"/>
          <w:kern w:val="1"/>
          <w:sz w:val="32"/>
          <w:szCs w:val="32"/>
          <w:u w:val="single"/>
        </w:rPr>
      </w:pPr>
      <w:r>
        <w:rPr>
          <w:rFonts w:hint="eastAsia" w:ascii="仿宋_GB2312" w:hAnsi="Times New Roman" w:eastAsia="仿宋_GB2312" w:cs="Mongolian Baiti"/>
          <w:kern w:val="1"/>
          <w:sz w:val="32"/>
          <w:szCs w:val="32"/>
        </w:rPr>
        <w:t>法定代表人（负责人、经营者）：</w:t>
      </w:r>
      <w:r>
        <w:rPr>
          <w:rFonts w:hint="eastAsia" w:ascii="仿宋_GB2312" w:hAnsi="Times New Roman" w:eastAsia="仿宋_GB2312" w:cs="Mongolian Baiti"/>
          <w:kern w:val="1"/>
          <w:sz w:val="32"/>
          <w:szCs w:val="32"/>
          <w:u w:val="single"/>
        </w:rPr>
        <w:t xml:space="preserve">温圳瑜                    </w:t>
      </w:r>
    </w:p>
    <w:p>
      <w:pPr>
        <w:snapToGrid w:val="0"/>
        <w:spacing w:line="288" w:lineRule="auto"/>
        <w:rPr>
          <w:rFonts w:ascii="仿宋_GB2312" w:hAnsi="Times New Roman" w:eastAsia="仿宋_GB2312" w:cs="仿宋"/>
          <w:bCs/>
          <w:color w:val="000000"/>
          <w:sz w:val="32"/>
          <w:szCs w:val="32"/>
          <w:u w:val="single"/>
        </w:rPr>
      </w:pPr>
      <w:r>
        <w:rPr>
          <w:rFonts w:hint="eastAsia" w:ascii="仿宋_GB2312" w:hAnsi="楷体_GB2312" w:eastAsia="仿宋_GB2312" w:cs="楷体_GB2312"/>
          <w:color w:val="000000"/>
          <w:sz w:val="32"/>
          <w:szCs w:val="32"/>
          <w:u w:val="single"/>
        </w:rPr>
        <w:t xml:space="preserve">    </w:t>
      </w:r>
      <w:r>
        <w:rPr>
          <w:rFonts w:hint="eastAsia" w:ascii="仿宋_GB2312" w:hAnsi="仿宋" w:eastAsia="仿宋_GB2312" w:cs="仿宋_GB2312"/>
          <w:sz w:val="32"/>
          <w:szCs w:val="32"/>
          <w:u w:val="single"/>
        </w:rPr>
        <w:t>2020年10月29日，本局委托广东方舟检测技术有限公司对惠州大亚湾圳瑜副食商店销售的“干木耳”进行抽检。2020年11月24日，本局收到广东方舟检测技术有限公司出具的《检测报告》(受理编号：GDFZSP20187903)。该《检测报告》的抽检结果显示，惠州大亚湾圳瑜副食商店销售的“干木耳”不合格[检测项目“二氧化硫残留量”检测结果为0.53g/kg，不符合《食品安全国家标准 食品添加剂使用标准》（GB2760-2014）标准要求，检测项目“二氧化硫残留量”判定标准要求为“&lt;=0.05”，单项判定为不合格]。本局西区所执法人员于2020年11月26日对位于惠州大亚湾西区新寮市场的惠州大亚湾圳瑜副食商店进行现场检查，现场检查发现该店有上述“干木耳”在售。执法人员向当事人现场送达了《食品安全抽样检验结果通知书》[（抽样单号：）GDFSP201879]和广东方舟检测技术有限公司出具的《检测报告》(受理编号：GDFZSP20187903)。本局于当日对当事人销售不符合食品安全标准的食品的行为立案调查，对当事人销售的不符合食品安全标准的食品实施扣押行政强制措施（详见《财物清单》167号），并责令当事人停止违法经营行为。</w:t>
      </w:r>
      <w:r>
        <w:rPr>
          <w:rFonts w:ascii="仿宋_GB2312" w:hAnsi="Times New Roman" w:eastAsia="仿宋_GB2312" w:cs="仿宋"/>
          <w:bCs/>
          <w:color w:val="000000"/>
          <w:sz w:val="32"/>
          <w:szCs w:val="32"/>
          <w:u w:val="single"/>
        </w:rPr>
        <w:t xml:space="preserve">   </w:t>
      </w:r>
    </w:p>
    <w:p>
      <w:pPr>
        <w:snapToGrid w:val="0"/>
        <w:spacing w:line="288" w:lineRule="auto"/>
        <w:rPr>
          <w:rFonts w:ascii="仿宋_GB2312" w:hAnsi="Times New Roman" w:eastAsia="仿宋_GB2312" w:cs="仿宋"/>
          <w:bCs/>
          <w:color w:val="000000"/>
          <w:sz w:val="32"/>
          <w:szCs w:val="32"/>
          <w:u w:val="single"/>
        </w:rPr>
      </w:pPr>
      <w:r>
        <w:rPr>
          <w:rFonts w:hint="eastAsia" w:ascii="仿宋_GB2312" w:hAnsi="楷体_GB2312" w:eastAsia="仿宋_GB2312" w:cs="楷体_GB2312"/>
          <w:color w:val="000000"/>
          <w:sz w:val="32"/>
          <w:szCs w:val="32"/>
          <w:u w:val="single"/>
        </w:rPr>
        <w:t xml:space="preserve"> </w:t>
      </w:r>
      <w:r>
        <w:rPr>
          <w:rFonts w:hint="eastAsia" w:ascii="仿宋_GB2312" w:hAnsi="Times New Roman" w:eastAsia="仿宋_GB2312" w:cs="仿宋"/>
          <w:color w:val="000000"/>
          <w:sz w:val="32"/>
          <w:szCs w:val="32"/>
          <w:u w:val="single"/>
        </w:rPr>
        <w:t xml:space="preserve">   </w:t>
      </w:r>
      <w:r>
        <w:rPr>
          <w:rFonts w:hint="eastAsia" w:ascii="仿宋" w:hAnsi="仿宋" w:eastAsia="仿宋" w:cs="仿宋_GB2312"/>
          <w:sz w:val="32"/>
          <w:szCs w:val="32"/>
          <w:u w:val="single"/>
        </w:rPr>
        <w:t>经查实，该批次“干木耳”为当事人分别于2020年9月12日、2020年10月10日从惠阳区淡水</w:t>
      </w:r>
      <w:r>
        <w:rPr>
          <w:rFonts w:hint="eastAsia" w:ascii="仿宋" w:hAnsi="仿宋" w:eastAsia="仿宋" w:cs="仿宋_GB2312"/>
          <w:sz w:val="32"/>
          <w:szCs w:val="32"/>
          <w:u w:val="single"/>
          <w:lang w:val="en-US" w:eastAsia="zh-CN"/>
        </w:rPr>
        <w:t>**</w:t>
      </w:r>
      <w:bookmarkStart w:id="2" w:name="_GoBack"/>
      <w:bookmarkEnd w:id="2"/>
      <w:r>
        <w:rPr>
          <w:rFonts w:hint="eastAsia" w:ascii="仿宋" w:hAnsi="仿宋" w:eastAsia="仿宋" w:cs="仿宋_GB2312"/>
          <w:sz w:val="32"/>
          <w:szCs w:val="32"/>
          <w:u w:val="single"/>
        </w:rPr>
        <w:t>副食店购进的，当事人提供了供货方《营业执照》复印件、《食品经营许可证》复印件以及</w:t>
      </w:r>
      <w:bookmarkStart w:id="0" w:name="_Hlk59701308"/>
      <w:r>
        <w:rPr>
          <w:rFonts w:hint="eastAsia" w:ascii="仿宋" w:hAnsi="仿宋" w:eastAsia="仿宋" w:cs="仿宋_GB2312"/>
          <w:sz w:val="32"/>
          <w:szCs w:val="32"/>
          <w:u w:val="single"/>
        </w:rPr>
        <w:t>2020年10月10日</w:t>
      </w:r>
      <w:bookmarkEnd w:id="0"/>
      <w:r>
        <w:rPr>
          <w:rFonts w:hint="eastAsia" w:ascii="仿宋" w:hAnsi="仿宋" w:eastAsia="仿宋" w:cs="仿宋_GB2312"/>
          <w:sz w:val="32"/>
          <w:szCs w:val="32"/>
          <w:u w:val="single"/>
        </w:rPr>
        <w:t>购进的2</w:t>
      </w:r>
      <w:r>
        <w:rPr>
          <w:rFonts w:ascii="仿宋" w:hAnsi="仿宋" w:eastAsia="仿宋" w:cs="仿宋_GB2312"/>
          <w:sz w:val="32"/>
          <w:szCs w:val="32"/>
          <w:u w:val="single"/>
        </w:rPr>
        <w:t>.</w:t>
      </w:r>
      <w:r>
        <w:rPr>
          <w:rFonts w:hint="eastAsia" w:ascii="仿宋" w:hAnsi="仿宋" w:eastAsia="仿宋" w:cs="仿宋_GB2312"/>
          <w:sz w:val="32"/>
          <w:szCs w:val="32"/>
          <w:u w:val="single"/>
        </w:rPr>
        <w:t>5公斤“干木耳”的进货票据。当事人以</w:t>
      </w:r>
      <w:r>
        <w:rPr>
          <w:rFonts w:ascii="仿宋" w:hAnsi="仿宋" w:eastAsia="仿宋" w:cs="仿宋_GB2312"/>
          <w:sz w:val="32"/>
          <w:szCs w:val="32"/>
          <w:u w:val="single"/>
        </w:rPr>
        <w:t>72</w:t>
      </w:r>
      <w:r>
        <w:rPr>
          <w:rFonts w:hint="eastAsia" w:ascii="仿宋" w:hAnsi="仿宋" w:eastAsia="仿宋" w:cs="仿宋_GB2312"/>
          <w:sz w:val="32"/>
          <w:szCs w:val="32"/>
          <w:u w:val="single"/>
        </w:rPr>
        <w:t>元/公斤的价格购进上述批次的“干木耳”，当事人于2020年9月12日购进</w:t>
      </w:r>
      <w:r>
        <w:rPr>
          <w:rFonts w:ascii="仿宋" w:hAnsi="仿宋" w:eastAsia="仿宋" w:cs="仿宋_GB2312"/>
          <w:sz w:val="32"/>
          <w:szCs w:val="32"/>
          <w:u w:val="single"/>
        </w:rPr>
        <w:t>5</w:t>
      </w:r>
      <w:r>
        <w:rPr>
          <w:rFonts w:hint="eastAsia" w:ascii="仿宋" w:hAnsi="仿宋" w:eastAsia="仿宋" w:cs="仿宋_GB2312"/>
          <w:sz w:val="32"/>
          <w:szCs w:val="32"/>
          <w:u w:val="single"/>
        </w:rPr>
        <w:t>公斤、2020年10月10日购进</w:t>
      </w:r>
      <w:r>
        <w:rPr>
          <w:rFonts w:ascii="仿宋" w:hAnsi="仿宋" w:eastAsia="仿宋" w:cs="仿宋_GB2312"/>
          <w:sz w:val="32"/>
          <w:szCs w:val="32"/>
          <w:u w:val="single"/>
        </w:rPr>
        <w:t>2.5</w:t>
      </w:r>
      <w:r>
        <w:rPr>
          <w:rFonts w:hint="eastAsia" w:ascii="仿宋" w:hAnsi="仿宋" w:eastAsia="仿宋" w:cs="仿宋_GB2312"/>
          <w:sz w:val="32"/>
          <w:szCs w:val="32"/>
          <w:u w:val="single"/>
        </w:rPr>
        <w:t>公斤，根据询问调查，当事人以</w:t>
      </w:r>
      <w:r>
        <w:rPr>
          <w:rFonts w:ascii="仿宋" w:hAnsi="仿宋" w:eastAsia="仿宋" w:cs="仿宋_GB2312"/>
          <w:sz w:val="32"/>
          <w:szCs w:val="32"/>
          <w:u w:val="single"/>
        </w:rPr>
        <w:t>90</w:t>
      </w:r>
      <w:r>
        <w:rPr>
          <w:rFonts w:hint="eastAsia" w:ascii="仿宋" w:hAnsi="仿宋" w:eastAsia="仿宋" w:cs="仿宋_GB2312"/>
          <w:sz w:val="32"/>
          <w:szCs w:val="32"/>
          <w:u w:val="single"/>
        </w:rPr>
        <w:t>元/公斤的价格对外销售了</w:t>
      </w:r>
      <w:r>
        <w:rPr>
          <w:rFonts w:ascii="仿宋" w:hAnsi="仿宋" w:eastAsia="仿宋" w:cs="仿宋_GB2312"/>
          <w:sz w:val="32"/>
          <w:szCs w:val="32"/>
          <w:u w:val="single"/>
        </w:rPr>
        <w:t>2.855</w:t>
      </w:r>
      <w:r>
        <w:rPr>
          <w:rFonts w:hint="eastAsia" w:ascii="仿宋" w:hAnsi="仿宋" w:eastAsia="仿宋" w:cs="仿宋_GB2312"/>
          <w:sz w:val="32"/>
          <w:szCs w:val="32"/>
          <w:u w:val="single"/>
        </w:rPr>
        <w:t>公斤。抽检当天，由于当事人现场摆放出来的“干木耳”仅有1500克，因此导致抽检工作人员认为抽样基数为1500克。由于该店仅能提供2020年10月10日的进货票据，未建立其他相关进出货台账及账本，根据对当事人的询问调查，该案货值金额为675元[货值计算方法为：销售价×数量]，违法所得为256.95元[违法所得计算方法为：销售价×已售产品数量]。当事人对检验结果无异议，未申请复检。当事人于2020年11月27日主动张贴召回通知，</w:t>
      </w:r>
      <w:r>
        <w:rPr>
          <w:rFonts w:hint="eastAsia" w:ascii="仿宋" w:hAnsi="仿宋" w:eastAsia="仿宋" w:cs="仿宋_GB2312"/>
          <w:bCs/>
          <w:sz w:val="32"/>
          <w:szCs w:val="32"/>
          <w:u w:val="single"/>
        </w:rPr>
        <w:t xml:space="preserve">对上述不合格食品进行召回。 </w:t>
      </w:r>
      <w:r>
        <w:rPr>
          <w:rFonts w:ascii="仿宋" w:hAnsi="仿宋" w:eastAsia="仿宋" w:cs="仿宋_GB2312"/>
          <w:bCs/>
          <w:sz w:val="32"/>
          <w:szCs w:val="32"/>
          <w:u w:val="single"/>
        </w:rPr>
        <w:t xml:space="preserve"> </w:t>
      </w:r>
      <w:r>
        <w:rPr>
          <w:rFonts w:hint="eastAsia" w:ascii="仿宋_GB2312" w:hAnsi="仿宋" w:eastAsia="仿宋_GB2312" w:cs="仿宋_GB2312"/>
          <w:sz w:val="32"/>
          <w:szCs w:val="32"/>
          <w:u w:val="single"/>
        </w:rPr>
        <w:t xml:space="preserve"> </w:t>
      </w:r>
      <w:r>
        <w:rPr>
          <w:rFonts w:ascii="仿宋_GB2312" w:hAnsi="仿宋" w:eastAsia="仿宋_GB2312" w:cs="仿宋_GB2312"/>
          <w:sz w:val="32"/>
          <w:szCs w:val="32"/>
          <w:u w:val="single"/>
        </w:rPr>
        <w:t xml:space="preserve">   </w:t>
      </w:r>
    </w:p>
    <w:p>
      <w:pPr>
        <w:snapToGrid w:val="0"/>
        <w:spacing w:line="288" w:lineRule="auto"/>
        <w:ind w:firstLine="640" w:firstLineChars="200"/>
        <w:rPr>
          <w:rFonts w:ascii="仿宋_GB2312" w:hAnsi="Times New Roman" w:eastAsia="仿宋_GB2312" w:cs="仿宋"/>
          <w:bCs/>
          <w:color w:val="000000"/>
          <w:sz w:val="32"/>
          <w:szCs w:val="32"/>
          <w:u w:val="single"/>
        </w:rPr>
      </w:pPr>
      <w:r>
        <w:rPr>
          <w:rFonts w:hint="eastAsia" w:ascii="仿宋_GB2312" w:hAnsi="Times New Roman" w:eastAsia="仿宋_GB2312" w:cs="仿宋"/>
          <w:color w:val="000000"/>
          <w:sz w:val="32"/>
          <w:szCs w:val="32"/>
        </w:rPr>
        <w:t>上述事实，主要有以下证据证明：</w:t>
      </w:r>
      <w:r>
        <w:rPr>
          <w:rFonts w:hint="eastAsia" w:ascii="仿宋_GB2312" w:hAnsi="Times New Roman" w:eastAsia="仿宋_GB2312" w:cs="仿宋"/>
          <w:color w:val="000000"/>
          <w:sz w:val="32"/>
          <w:szCs w:val="32"/>
          <w:u w:val="single"/>
        </w:rPr>
        <w:t>现场检查记录、现场检查照片、询问笔录、</w:t>
      </w:r>
      <w:r>
        <w:rPr>
          <w:rFonts w:hint="eastAsia" w:ascii="仿宋_GB2312" w:hAnsi="仿宋" w:eastAsia="仿宋_GB2312" w:cs="仿宋_GB2312"/>
          <w:sz w:val="32"/>
          <w:szCs w:val="32"/>
          <w:u w:val="single"/>
        </w:rPr>
        <w:t>当事人身份证复印件、《营业执照》复印件、《食品经营许可证》复印件、供货方营业执照、</w:t>
      </w:r>
      <w:r>
        <w:rPr>
          <w:rFonts w:hint="eastAsia" w:ascii="仿宋" w:hAnsi="仿宋" w:eastAsia="仿宋" w:cs="仿宋_GB2312"/>
          <w:sz w:val="32"/>
          <w:szCs w:val="32"/>
          <w:u w:val="single"/>
        </w:rPr>
        <w:t>广东方舟检测技术有限公司出具的《检验报告》(受理编号：GDFZSP20187903)以及当事人于2020年</w:t>
      </w:r>
      <w:r>
        <w:rPr>
          <w:rFonts w:ascii="仿宋" w:hAnsi="仿宋" w:eastAsia="仿宋" w:cs="仿宋_GB2312"/>
          <w:sz w:val="32"/>
          <w:szCs w:val="32"/>
          <w:u w:val="single"/>
        </w:rPr>
        <w:t>12</w:t>
      </w:r>
      <w:r>
        <w:rPr>
          <w:rFonts w:hint="eastAsia" w:ascii="仿宋" w:hAnsi="仿宋" w:eastAsia="仿宋" w:cs="仿宋_GB2312"/>
          <w:sz w:val="32"/>
          <w:szCs w:val="32"/>
          <w:u w:val="single"/>
        </w:rPr>
        <w:t>月</w:t>
      </w:r>
      <w:r>
        <w:rPr>
          <w:rFonts w:ascii="仿宋" w:hAnsi="仿宋" w:eastAsia="仿宋" w:cs="仿宋_GB2312"/>
          <w:sz w:val="32"/>
          <w:szCs w:val="32"/>
          <w:u w:val="single"/>
        </w:rPr>
        <w:t>24</w:t>
      </w:r>
      <w:r>
        <w:rPr>
          <w:rFonts w:hint="eastAsia" w:ascii="仿宋" w:hAnsi="仿宋" w:eastAsia="仿宋" w:cs="仿宋_GB2312"/>
          <w:sz w:val="32"/>
          <w:szCs w:val="32"/>
          <w:u w:val="single"/>
        </w:rPr>
        <w:t>日提供的《减轻处理申请书》</w:t>
      </w:r>
      <w:r>
        <w:rPr>
          <w:rFonts w:hint="eastAsia" w:ascii="仿宋_GB2312" w:hAnsi="仿宋" w:eastAsia="仿宋_GB2312" w:cs="仿宋_GB2312"/>
          <w:sz w:val="32"/>
          <w:szCs w:val="32"/>
          <w:u w:val="single"/>
        </w:rPr>
        <w:t xml:space="preserve">，事实清楚，证据确凿。 </w:t>
      </w:r>
      <w:r>
        <w:rPr>
          <w:rFonts w:ascii="仿宋_GB2312" w:hAnsi="仿宋" w:eastAsia="仿宋_GB2312" w:cs="仿宋_GB2312"/>
          <w:sz w:val="32"/>
          <w:szCs w:val="32"/>
          <w:u w:val="single"/>
        </w:rPr>
        <w:t xml:space="preserve">                                    </w:t>
      </w:r>
    </w:p>
    <w:p>
      <w:pPr>
        <w:snapToGrid w:val="0"/>
        <w:spacing w:line="288" w:lineRule="auto"/>
        <w:rPr>
          <w:rFonts w:ascii="仿宋_GB2312" w:hAnsi="Times New Roman" w:eastAsia="仿宋_GB2312" w:cs="仿宋"/>
          <w:bCs/>
          <w:color w:val="000000"/>
          <w:sz w:val="32"/>
          <w:szCs w:val="32"/>
          <w:u w:val="single"/>
        </w:rPr>
      </w:pPr>
      <w:r>
        <w:rPr>
          <w:rFonts w:hint="eastAsia" w:ascii="仿宋_GB2312" w:hAnsi="楷体_GB2312" w:eastAsia="仿宋_GB2312" w:cs="楷体_GB2312"/>
          <w:color w:val="000000"/>
          <w:sz w:val="32"/>
          <w:szCs w:val="32"/>
          <w:u w:val="single"/>
        </w:rPr>
        <w:t xml:space="preserve"> </w:t>
      </w:r>
      <w:r>
        <w:rPr>
          <w:rFonts w:hint="eastAsia" w:ascii="仿宋_GB2312" w:hAnsi="Times New Roman" w:eastAsia="仿宋_GB2312" w:cs="仿宋"/>
          <w:color w:val="000000"/>
          <w:sz w:val="32"/>
          <w:szCs w:val="32"/>
          <w:u w:val="single"/>
        </w:rPr>
        <w:t xml:space="preserve">   当事人销售不符合食品安全标准的食品的行为，违反了《中华人民共和国食品安全法》第三十四条第四项，即“禁止生产经营下列食品、食品添加剂、食品相关产品：（四）超范围、超限量使用食品添加剂的食品”的规定。</w:t>
      </w:r>
      <w:r>
        <w:rPr>
          <w:rFonts w:hint="eastAsia" w:ascii="仿宋_GB2312" w:hAnsi="Times New Roman" w:eastAsia="仿宋_GB2312" w:cs="仿宋"/>
          <w:bCs/>
          <w:color w:val="000000"/>
          <w:sz w:val="32"/>
          <w:szCs w:val="32"/>
          <w:u w:val="single"/>
        </w:rPr>
        <w:t xml:space="preserve">       </w:t>
      </w:r>
      <w:r>
        <w:rPr>
          <w:rFonts w:ascii="仿宋_GB2312" w:hAnsi="Times New Roman" w:eastAsia="仿宋_GB2312" w:cs="仿宋"/>
          <w:bCs/>
          <w:color w:val="000000"/>
          <w:sz w:val="32"/>
          <w:szCs w:val="32"/>
          <w:u w:val="single"/>
        </w:rPr>
        <w:t xml:space="preserve">    </w:t>
      </w:r>
      <w:r>
        <w:rPr>
          <w:rFonts w:hint="eastAsia" w:ascii="仿宋_GB2312" w:hAnsi="Times New Roman" w:eastAsia="仿宋_GB2312" w:cs="仿宋"/>
          <w:bCs/>
          <w:color w:val="000000"/>
          <w:sz w:val="32"/>
          <w:szCs w:val="32"/>
          <w:u w:val="single"/>
        </w:rPr>
        <w:t xml:space="preserve">        </w:t>
      </w:r>
      <w:r>
        <w:rPr>
          <w:rFonts w:ascii="仿宋_GB2312" w:hAnsi="Times New Roman" w:eastAsia="仿宋_GB2312" w:cs="仿宋"/>
          <w:bCs/>
          <w:color w:val="000000"/>
          <w:sz w:val="32"/>
          <w:szCs w:val="32"/>
          <w:u w:val="single"/>
        </w:rPr>
        <w:t xml:space="preserve">    </w:t>
      </w:r>
    </w:p>
    <w:p>
      <w:pPr>
        <w:snapToGrid w:val="0"/>
        <w:spacing w:line="288" w:lineRule="auto"/>
        <w:rPr>
          <w:rFonts w:ascii="仿宋_GB2312" w:hAnsi="Times New Roman" w:eastAsia="仿宋_GB2312" w:cs="仿宋"/>
          <w:bCs/>
          <w:color w:val="000000"/>
          <w:sz w:val="32"/>
          <w:szCs w:val="32"/>
          <w:u w:val="single"/>
        </w:rPr>
      </w:pPr>
      <w:r>
        <w:rPr>
          <w:rFonts w:hint="eastAsia" w:ascii="仿宋_GB2312" w:hAnsi="Times New Roman" w:eastAsia="仿宋_GB2312" w:cs="仿宋"/>
          <w:bCs/>
          <w:color w:val="000000"/>
          <w:sz w:val="32"/>
          <w:szCs w:val="32"/>
          <w:u w:val="single"/>
        </w:rPr>
        <w:t xml:space="preserve"> </w:t>
      </w:r>
      <w:r>
        <w:rPr>
          <w:rFonts w:ascii="仿宋_GB2312" w:hAnsi="Times New Roman" w:eastAsia="仿宋_GB2312" w:cs="仿宋"/>
          <w:bCs/>
          <w:color w:val="000000"/>
          <w:sz w:val="32"/>
          <w:szCs w:val="32"/>
          <w:u w:val="single"/>
        </w:rPr>
        <w:t xml:space="preserve">   </w:t>
      </w:r>
      <w:r>
        <w:rPr>
          <w:rFonts w:hint="eastAsia" w:ascii="仿宋_GB2312" w:hAnsi="Times New Roman" w:eastAsia="仿宋_GB2312" w:cs="仿宋"/>
          <w:bCs/>
          <w:color w:val="000000"/>
          <w:sz w:val="32"/>
          <w:szCs w:val="32"/>
          <w:u w:val="single"/>
        </w:rPr>
        <w:t>根据以上查明的事实，本局于202</w:t>
      </w:r>
      <w:r>
        <w:rPr>
          <w:rFonts w:ascii="仿宋_GB2312" w:hAnsi="Times New Roman" w:eastAsia="仿宋_GB2312" w:cs="仿宋"/>
          <w:bCs/>
          <w:color w:val="000000"/>
          <w:sz w:val="32"/>
          <w:szCs w:val="32"/>
          <w:u w:val="single"/>
        </w:rPr>
        <w:t>1</w:t>
      </w:r>
      <w:r>
        <w:rPr>
          <w:rFonts w:hint="eastAsia" w:ascii="仿宋_GB2312" w:hAnsi="Times New Roman" w:eastAsia="仿宋_GB2312" w:cs="仿宋"/>
          <w:bCs/>
          <w:color w:val="000000"/>
          <w:sz w:val="32"/>
          <w:szCs w:val="32"/>
          <w:u w:val="single"/>
        </w:rPr>
        <w:t>年</w:t>
      </w:r>
      <w:r>
        <w:rPr>
          <w:rFonts w:ascii="仿宋_GB2312" w:hAnsi="Times New Roman" w:eastAsia="仿宋_GB2312" w:cs="仿宋"/>
          <w:bCs/>
          <w:color w:val="000000"/>
          <w:sz w:val="32"/>
          <w:szCs w:val="32"/>
          <w:u w:val="single"/>
        </w:rPr>
        <w:t>1</w:t>
      </w:r>
      <w:r>
        <w:rPr>
          <w:rFonts w:hint="eastAsia" w:ascii="仿宋_GB2312" w:hAnsi="Times New Roman" w:eastAsia="仿宋_GB2312" w:cs="仿宋"/>
          <w:bCs/>
          <w:color w:val="000000"/>
          <w:sz w:val="32"/>
          <w:szCs w:val="32"/>
          <w:u w:val="single"/>
        </w:rPr>
        <w:t>月</w:t>
      </w:r>
      <w:r>
        <w:rPr>
          <w:rFonts w:ascii="仿宋_GB2312" w:hAnsi="Times New Roman" w:eastAsia="仿宋_GB2312" w:cs="仿宋"/>
          <w:bCs/>
          <w:color w:val="000000"/>
          <w:sz w:val="32"/>
          <w:szCs w:val="32"/>
          <w:u w:val="single"/>
        </w:rPr>
        <w:t>21</w:t>
      </w:r>
      <w:r>
        <w:rPr>
          <w:rFonts w:hint="eastAsia" w:ascii="仿宋_GB2312" w:hAnsi="Times New Roman" w:eastAsia="仿宋_GB2312" w:cs="仿宋"/>
          <w:bCs/>
          <w:color w:val="000000"/>
          <w:sz w:val="32"/>
          <w:szCs w:val="32"/>
          <w:u w:val="single"/>
        </w:rPr>
        <w:t>日向当事人直接送达《行政处罚听证告知书》（惠湾市监西听字〔202</w:t>
      </w:r>
      <w:r>
        <w:rPr>
          <w:rFonts w:ascii="仿宋_GB2312" w:hAnsi="Times New Roman" w:eastAsia="仿宋_GB2312" w:cs="仿宋"/>
          <w:bCs/>
          <w:color w:val="000000"/>
          <w:sz w:val="32"/>
          <w:szCs w:val="32"/>
          <w:u w:val="single"/>
        </w:rPr>
        <w:t>1</w:t>
      </w:r>
      <w:r>
        <w:rPr>
          <w:rFonts w:hint="eastAsia" w:ascii="仿宋_GB2312" w:hAnsi="Times New Roman" w:eastAsia="仿宋_GB2312" w:cs="仿宋"/>
          <w:bCs/>
          <w:color w:val="000000"/>
          <w:sz w:val="32"/>
          <w:szCs w:val="32"/>
          <w:u w:val="single"/>
        </w:rPr>
        <w:t>〕</w:t>
      </w:r>
      <w:r>
        <w:rPr>
          <w:rFonts w:ascii="仿宋_GB2312" w:hAnsi="Times New Roman" w:eastAsia="仿宋_GB2312" w:cs="仿宋"/>
          <w:bCs/>
          <w:color w:val="000000"/>
          <w:sz w:val="32"/>
          <w:szCs w:val="32"/>
          <w:u w:val="single"/>
        </w:rPr>
        <w:t>1</w:t>
      </w:r>
      <w:r>
        <w:rPr>
          <w:rFonts w:hint="eastAsia" w:ascii="仿宋_GB2312" w:hAnsi="Times New Roman" w:eastAsia="仿宋_GB2312" w:cs="仿宋"/>
          <w:bCs/>
          <w:color w:val="000000"/>
          <w:sz w:val="32"/>
          <w:szCs w:val="32"/>
          <w:u w:val="single"/>
        </w:rPr>
        <w:t xml:space="preserve">号），当事人在法定期限内未向本局提出陈述、申辩意见，未要求举行听证。 </w:t>
      </w:r>
      <w:r>
        <w:rPr>
          <w:rFonts w:ascii="仿宋_GB2312" w:hAnsi="Times New Roman" w:eastAsia="仿宋_GB2312" w:cs="仿宋"/>
          <w:bCs/>
          <w:color w:val="000000"/>
          <w:sz w:val="32"/>
          <w:szCs w:val="32"/>
          <w:u w:val="single"/>
        </w:rPr>
        <w:t xml:space="preserve">                                       </w:t>
      </w:r>
      <w:r>
        <w:rPr>
          <w:rFonts w:hint="eastAsia" w:ascii="仿宋_GB2312" w:hAnsi="Times New Roman" w:eastAsia="仿宋_GB2312" w:cs="仿宋"/>
          <w:bCs/>
          <w:color w:val="000000"/>
          <w:sz w:val="32"/>
          <w:szCs w:val="32"/>
          <w:u w:val="single"/>
        </w:rPr>
        <w:t xml:space="preserve">        </w:t>
      </w:r>
      <w:r>
        <w:rPr>
          <w:rFonts w:ascii="仿宋_GB2312" w:hAnsi="Times New Roman" w:eastAsia="仿宋_GB2312" w:cs="仿宋"/>
          <w:bCs/>
          <w:color w:val="000000"/>
          <w:sz w:val="32"/>
          <w:szCs w:val="32"/>
          <w:u w:val="single"/>
        </w:rPr>
        <w:t xml:space="preserve"> </w:t>
      </w:r>
    </w:p>
    <w:p>
      <w:pPr>
        <w:snapToGrid w:val="0"/>
        <w:spacing w:line="288" w:lineRule="auto"/>
        <w:rPr>
          <w:rFonts w:ascii="仿宋_GB2312" w:hAnsi="Times New Roman" w:eastAsia="仿宋_GB2312" w:cs="仿宋"/>
          <w:bCs/>
          <w:color w:val="000000"/>
          <w:sz w:val="32"/>
          <w:szCs w:val="32"/>
          <w:u w:val="single"/>
        </w:rPr>
      </w:pPr>
      <w:r>
        <w:rPr>
          <w:rFonts w:hint="eastAsia" w:ascii="仿宋_GB2312" w:hAnsi="Times New Roman" w:eastAsia="仿宋_GB2312" w:cs="仿宋"/>
          <w:bCs/>
          <w:color w:val="000000"/>
          <w:sz w:val="32"/>
          <w:szCs w:val="32"/>
          <w:u w:val="single"/>
        </w:rPr>
        <w:t xml:space="preserve">    </w:t>
      </w:r>
      <w:r>
        <w:rPr>
          <w:rFonts w:hint="eastAsia" w:ascii="仿宋" w:hAnsi="仿宋" w:eastAsia="仿宋" w:cs="仿宋_GB2312"/>
          <w:bCs/>
          <w:sz w:val="32"/>
          <w:szCs w:val="32"/>
          <w:u w:val="single"/>
        </w:rPr>
        <w:t>鉴于当事人能从主观认识自身违法行为，在执法现场配合本局检查，在调查阶段能积极主动配合执法人员了解情况、提供有关材料，并于</w:t>
      </w:r>
      <w:r>
        <w:rPr>
          <w:rFonts w:hint="eastAsia" w:ascii="仿宋" w:hAnsi="仿宋" w:eastAsia="仿宋" w:cs="仿宋_GB2312"/>
          <w:sz w:val="32"/>
          <w:szCs w:val="32"/>
          <w:u w:val="single"/>
        </w:rPr>
        <w:t>2020年12月24日</w:t>
      </w:r>
      <w:r>
        <w:rPr>
          <w:rFonts w:hint="eastAsia" w:ascii="仿宋" w:hAnsi="仿宋" w:eastAsia="仿宋" w:cs="仿宋_GB2312"/>
          <w:bCs/>
          <w:sz w:val="32"/>
          <w:szCs w:val="32"/>
          <w:u w:val="single"/>
        </w:rPr>
        <w:t>提交</w:t>
      </w:r>
      <w:r>
        <w:rPr>
          <w:rFonts w:hint="eastAsia" w:ascii="仿宋" w:hAnsi="仿宋" w:eastAsia="仿宋" w:cs="仿宋_GB2312"/>
          <w:sz w:val="32"/>
          <w:szCs w:val="32"/>
          <w:u w:val="single"/>
        </w:rPr>
        <w:t>《减轻处理申请书》</w:t>
      </w:r>
      <w:r>
        <w:rPr>
          <w:rFonts w:hint="eastAsia" w:ascii="仿宋" w:hAnsi="仿宋" w:eastAsia="仿宋" w:cs="仿宋_GB2312"/>
          <w:bCs/>
          <w:sz w:val="32"/>
          <w:szCs w:val="32"/>
          <w:u w:val="single"/>
        </w:rPr>
        <w:t>，并在执法人员送达检测报告后主动对上述不合格食品进行召回，主动减轻违法行为危害后果。因此，当事人的实际情况</w:t>
      </w:r>
      <w:bookmarkStart w:id="1" w:name="_Hlk28180736"/>
      <w:r>
        <w:rPr>
          <w:rFonts w:hint="eastAsia" w:ascii="仿宋" w:hAnsi="仿宋" w:eastAsia="仿宋" w:cs="仿宋_GB2312"/>
          <w:bCs/>
          <w:sz w:val="32"/>
          <w:szCs w:val="32"/>
          <w:u w:val="single"/>
        </w:rPr>
        <w:t>符合《中华人民共和国行政处罚法》第二十七条第一款第一项</w:t>
      </w:r>
      <w:bookmarkEnd w:id="1"/>
      <w:r>
        <w:rPr>
          <w:rFonts w:hint="eastAsia" w:ascii="仿宋" w:hAnsi="仿宋" w:eastAsia="仿宋" w:cs="仿宋_GB2312"/>
          <w:bCs/>
          <w:sz w:val="32"/>
          <w:szCs w:val="32"/>
          <w:u w:val="single"/>
        </w:rPr>
        <w:t>，即“当事人有下列情形之一的，应当依法从轻或者减轻行政处罚：（一）主动消除或者减轻违法行为危害后果的”规定的予以减轻处罚的情形，按照教育与处罚结合的原则，对当事人进行减轻处罚。</w:t>
      </w:r>
    </w:p>
    <w:p>
      <w:pPr>
        <w:snapToGrid w:val="0"/>
        <w:spacing w:line="300" w:lineRule="auto"/>
        <w:rPr>
          <w:rFonts w:ascii="仿宋" w:hAnsi="仿宋" w:eastAsia="仿宋" w:cs="仿宋_GB2312"/>
          <w:bCs/>
          <w:sz w:val="32"/>
          <w:szCs w:val="32"/>
          <w:u w:val="single"/>
        </w:rPr>
      </w:pPr>
      <w:r>
        <w:rPr>
          <w:rFonts w:hint="eastAsia" w:ascii="仿宋_GB2312" w:hAnsi="Times New Roman" w:eastAsia="仿宋_GB2312" w:cs="仿宋"/>
          <w:color w:val="000000"/>
          <w:sz w:val="32"/>
          <w:szCs w:val="32"/>
          <w:u w:val="single"/>
        </w:rPr>
        <w:t xml:space="preserve">    </w:t>
      </w:r>
      <w:r>
        <w:rPr>
          <w:rFonts w:hint="eastAsia" w:ascii="仿宋" w:hAnsi="仿宋" w:eastAsia="仿宋" w:cs="仿宋_GB2312"/>
          <w:bCs/>
          <w:sz w:val="32"/>
          <w:szCs w:val="32"/>
          <w:u w:val="single"/>
        </w:rPr>
        <w:t xml:space="preserve">依据《中华人民共和国食品安全法》第一百二十四条第一款第三项，即“违反本法规定，有下列情形之一，尚不构成犯罪的，由县级以上人民政府食品安全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三）生产经营超范围、超限量使用食品添加剂的食品”以及《中华人民共和国行政处罚法》第二十七条第一款第一项，即“当事人有下列情形之一的，应当依法从轻或者减轻行政处罚：（一）主动消除或者减轻违法行为危害后果的”的规定，责令当事人停止违法经营行为，并决定对当事人处以以下减轻行政处罚：   </w:t>
      </w:r>
      <w:r>
        <w:rPr>
          <w:rFonts w:ascii="仿宋" w:hAnsi="仿宋" w:eastAsia="仿宋" w:cs="仿宋_GB2312"/>
          <w:bCs/>
          <w:sz w:val="32"/>
          <w:szCs w:val="32"/>
          <w:u w:val="single"/>
        </w:rPr>
        <w:t xml:space="preserve">                                </w:t>
      </w:r>
    </w:p>
    <w:p>
      <w:pPr>
        <w:snapToGrid w:val="0"/>
        <w:spacing w:line="300" w:lineRule="auto"/>
        <w:rPr>
          <w:rFonts w:ascii="仿宋" w:hAnsi="仿宋" w:eastAsia="仿宋" w:cs="仿宋_GB2312"/>
          <w:bCs/>
          <w:sz w:val="32"/>
          <w:szCs w:val="32"/>
          <w:u w:val="single"/>
        </w:rPr>
      </w:pPr>
      <w:r>
        <w:rPr>
          <w:rFonts w:hint="eastAsia" w:ascii="仿宋" w:hAnsi="仿宋" w:eastAsia="仿宋" w:cs="仿宋_GB2312"/>
          <w:bCs/>
          <w:sz w:val="32"/>
          <w:szCs w:val="32"/>
          <w:u w:val="single"/>
        </w:rPr>
        <w:t xml:space="preserve">    一、罚款人民币伍仟元整（</w:t>
      </w:r>
      <w:r>
        <w:rPr>
          <w:rFonts w:eastAsia="仿宋" w:cs="Calibri"/>
          <w:bCs/>
          <w:sz w:val="32"/>
          <w:szCs w:val="32"/>
          <w:u w:val="single"/>
        </w:rPr>
        <w:t>¥</w:t>
      </w:r>
      <w:r>
        <w:rPr>
          <w:rFonts w:hint="eastAsia" w:ascii="仿宋" w:hAnsi="仿宋" w:eastAsia="仿宋" w:cs="仿宋_GB2312"/>
          <w:bCs/>
          <w:sz w:val="32"/>
          <w:szCs w:val="32"/>
          <w:u w:val="single"/>
        </w:rPr>
        <w:t xml:space="preserve">5000.00）；    </w:t>
      </w:r>
      <w:r>
        <w:rPr>
          <w:rFonts w:ascii="仿宋" w:hAnsi="仿宋" w:eastAsia="仿宋" w:cs="仿宋_GB2312"/>
          <w:bCs/>
          <w:sz w:val="32"/>
          <w:szCs w:val="32"/>
          <w:u w:val="single"/>
        </w:rPr>
        <w:t xml:space="preserve"> </w:t>
      </w:r>
      <w:r>
        <w:rPr>
          <w:rFonts w:hint="eastAsia" w:ascii="仿宋" w:hAnsi="仿宋" w:eastAsia="仿宋" w:cs="仿宋_GB2312"/>
          <w:bCs/>
          <w:sz w:val="32"/>
          <w:szCs w:val="32"/>
          <w:u w:val="single"/>
        </w:rPr>
        <w:t xml:space="preserve">           </w:t>
      </w:r>
    </w:p>
    <w:p>
      <w:pPr>
        <w:snapToGrid w:val="0"/>
        <w:spacing w:line="300" w:lineRule="auto"/>
        <w:rPr>
          <w:rFonts w:ascii="仿宋" w:hAnsi="仿宋" w:eastAsia="仿宋" w:cs="仿宋_GB2312"/>
          <w:bCs/>
          <w:sz w:val="32"/>
          <w:szCs w:val="32"/>
          <w:u w:val="single"/>
        </w:rPr>
      </w:pPr>
      <w:r>
        <w:rPr>
          <w:rFonts w:hint="eastAsia" w:ascii="仿宋" w:hAnsi="仿宋" w:eastAsia="仿宋" w:cs="仿宋_GB2312"/>
          <w:bCs/>
          <w:sz w:val="32"/>
          <w:szCs w:val="32"/>
          <w:u w:val="single"/>
        </w:rPr>
        <w:t xml:space="preserve">    二、没收违法所得人民币贰佰伍拾陆元玖角伍分（</w:t>
      </w:r>
      <w:r>
        <w:rPr>
          <w:rFonts w:eastAsia="仿宋" w:cs="Calibri"/>
          <w:bCs/>
          <w:sz w:val="32"/>
          <w:szCs w:val="32"/>
          <w:u w:val="single"/>
        </w:rPr>
        <w:t>¥</w:t>
      </w:r>
      <w:r>
        <w:rPr>
          <w:rFonts w:hint="eastAsia" w:ascii="仿宋" w:hAnsi="仿宋" w:eastAsia="仿宋" w:cs="仿宋_GB2312"/>
          <w:bCs/>
          <w:sz w:val="32"/>
          <w:szCs w:val="32"/>
          <w:u w:val="single"/>
        </w:rPr>
        <w:t>256.95）；</w:t>
      </w:r>
    </w:p>
    <w:p>
      <w:pPr>
        <w:snapToGrid w:val="0"/>
        <w:spacing w:line="288" w:lineRule="auto"/>
        <w:rPr>
          <w:rFonts w:ascii="仿宋" w:hAnsi="仿宋" w:eastAsia="仿宋" w:cs="仿宋_GB2312"/>
          <w:sz w:val="32"/>
          <w:szCs w:val="32"/>
          <w:u w:val="single"/>
        </w:rPr>
      </w:pPr>
      <w:r>
        <w:rPr>
          <w:rFonts w:ascii="仿宋" w:hAnsi="仿宋" w:eastAsia="仿宋" w:cs="仿宋_GB2312"/>
          <w:bCs/>
          <w:sz w:val="32"/>
          <w:szCs w:val="32"/>
          <w:u w:val="single"/>
        </w:rPr>
        <w:t xml:space="preserve">    </w:t>
      </w:r>
      <w:r>
        <w:rPr>
          <w:rFonts w:hint="eastAsia" w:ascii="仿宋" w:hAnsi="仿宋" w:eastAsia="仿宋" w:cs="仿宋_GB2312"/>
          <w:bCs/>
          <w:sz w:val="32"/>
          <w:szCs w:val="32"/>
          <w:u w:val="single"/>
        </w:rPr>
        <w:t>三、没收</w:t>
      </w:r>
      <w:r>
        <w:rPr>
          <w:rFonts w:hint="eastAsia" w:ascii="仿宋" w:hAnsi="仿宋" w:eastAsia="仿宋" w:cs="仿宋_GB2312"/>
          <w:sz w:val="32"/>
          <w:szCs w:val="32"/>
          <w:u w:val="single"/>
        </w:rPr>
        <w:t>不符合食品安全标准的“干木耳”</w:t>
      </w:r>
      <w:r>
        <w:rPr>
          <w:rFonts w:ascii="仿宋" w:hAnsi="仿宋" w:eastAsia="仿宋" w:cs="仿宋_GB2312"/>
          <w:sz w:val="32"/>
          <w:szCs w:val="32"/>
          <w:u w:val="single"/>
        </w:rPr>
        <w:t>4.645</w:t>
      </w:r>
      <w:r>
        <w:rPr>
          <w:rFonts w:hint="eastAsia" w:ascii="仿宋" w:hAnsi="仿宋" w:eastAsia="仿宋" w:cs="仿宋_GB2312"/>
          <w:sz w:val="32"/>
          <w:szCs w:val="32"/>
          <w:u w:val="single"/>
        </w:rPr>
        <w:t xml:space="preserve">公斤。 </w:t>
      </w:r>
      <w:r>
        <w:rPr>
          <w:rFonts w:ascii="仿宋" w:hAnsi="仿宋" w:eastAsia="仿宋" w:cs="仿宋_GB2312"/>
          <w:sz w:val="32"/>
          <w:szCs w:val="32"/>
          <w:u w:val="single"/>
        </w:rPr>
        <w:t xml:space="preserve"> </w:t>
      </w:r>
    </w:p>
    <w:p>
      <w:pPr>
        <w:snapToGrid w:val="0"/>
        <w:spacing w:line="288" w:lineRule="auto"/>
        <w:rPr>
          <w:rFonts w:ascii="仿宋_GB2312" w:hAnsi="楷体_GB2312" w:eastAsia="仿宋_GB2312" w:cs="楷体_GB2312"/>
          <w:color w:val="000000"/>
          <w:sz w:val="32"/>
          <w:szCs w:val="32"/>
          <w:u w:val="single"/>
        </w:rPr>
      </w:pPr>
      <w:r>
        <w:rPr>
          <w:rFonts w:hint="eastAsia" w:ascii="仿宋_GB2312" w:hAnsi="楷体_GB2312" w:eastAsia="仿宋_GB2312" w:cs="楷体_GB2312"/>
          <w:color w:val="000000"/>
          <w:sz w:val="32"/>
          <w:szCs w:val="32"/>
          <w:u w:val="single"/>
        </w:rPr>
        <w:t xml:space="preserve">    当事人应自接到本处罚决定书之日起15日到惠州大亚湾建设银行、工商银行、农业银行的其中一间银行缴纳罚款，或者使用惠州大亚湾经济技术开发区市场监督管理局的POS机刷卡缴纳罚款。逾期不缴纳罚款的，根据《中华人民共和国行政处罚法》第五十一条第一项的规定，每日按罚款数额的3%加处罚款，并依法申请人民法院强制执行。          </w:t>
      </w:r>
      <w:r>
        <w:rPr>
          <w:rFonts w:ascii="仿宋_GB2312" w:hAnsi="楷体_GB2312" w:eastAsia="仿宋_GB2312" w:cs="楷体_GB2312"/>
          <w:color w:val="000000"/>
          <w:sz w:val="32"/>
          <w:szCs w:val="32"/>
          <w:u w:val="single"/>
        </w:rPr>
        <w:t xml:space="preserve">          </w:t>
      </w:r>
      <w:r>
        <w:rPr>
          <w:rFonts w:hint="eastAsia" w:ascii="仿宋_GB2312" w:hAnsi="楷体_GB2312" w:eastAsia="仿宋_GB2312" w:cs="楷体_GB2312"/>
          <w:color w:val="000000"/>
          <w:sz w:val="32"/>
          <w:szCs w:val="32"/>
          <w:u w:val="single"/>
        </w:rPr>
        <w:t xml:space="preserve">       </w:t>
      </w:r>
      <w:r>
        <w:rPr>
          <w:rFonts w:ascii="仿宋_GB2312" w:hAnsi="楷体_GB2312" w:eastAsia="仿宋_GB2312" w:cs="楷体_GB2312"/>
          <w:color w:val="000000"/>
          <w:sz w:val="32"/>
          <w:szCs w:val="32"/>
          <w:u w:val="single"/>
        </w:rPr>
        <w:t xml:space="preserve">  </w:t>
      </w:r>
    </w:p>
    <w:p>
      <w:pPr>
        <w:snapToGrid w:val="0"/>
        <w:spacing w:line="288" w:lineRule="auto"/>
        <w:rPr>
          <w:rFonts w:ascii="仿宋_GB2312" w:hAnsi="Times New Roman" w:eastAsia="仿宋_GB2312" w:cs="仿宋"/>
          <w:color w:val="000000"/>
          <w:sz w:val="32"/>
          <w:szCs w:val="32"/>
        </w:rPr>
      </w:pPr>
      <w:r>
        <w:rPr>
          <w:rFonts w:hint="eastAsia" w:ascii="仿宋_GB2312" w:hAnsi="楷体_GB2312" w:eastAsia="仿宋_GB2312" w:cs="楷体_GB2312"/>
          <w:color w:val="000000"/>
          <w:sz w:val="32"/>
          <w:szCs w:val="32"/>
          <w:u w:val="single"/>
        </w:rPr>
        <w:t xml:space="preserve">    如不服从本处罚决定，可在接到本处罚决定书之日起60日内向惠州市市场监督管理局或大亚湾区管委会申请行政复议，也可于6个月内向博罗县人民法院提起行政诉讼。           </w:t>
      </w:r>
    </w:p>
    <w:p>
      <w:pPr>
        <w:snapToGrid w:val="0"/>
        <w:spacing w:line="288" w:lineRule="auto"/>
        <w:jc w:val="right"/>
        <w:rPr>
          <w:rFonts w:ascii="仿宋_GB2312" w:hAnsi="Times New Roman" w:eastAsia="仿宋_GB2312" w:cs="仿宋"/>
          <w:color w:val="000000"/>
          <w:sz w:val="32"/>
          <w:szCs w:val="32"/>
        </w:rPr>
      </w:pPr>
    </w:p>
    <w:p>
      <w:pPr>
        <w:snapToGrid w:val="0"/>
        <w:spacing w:line="288" w:lineRule="auto"/>
        <w:jc w:val="right"/>
        <w:rPr>
          <w:rFonts w:ascii="仿宋_GB2312" w:hAnsi="Times New Roman" w:eastAsia="仿宋_GB2312" w:cs="仿宋"/>
          <w:color w:val="000000"/>
          <w:sz w:val="32"/>
          <w:szCs w:val="32"/>
        </w:rPr>
      </w:pPr>
    </w:p>
    <w:p>
      <w:pPr>
        <w:snapToGrid w:val="0"/>
        <w:spacing w:line="288" w:lineRule="auto"/>
        <w:jc w:val="right"/>
        <w:rPr>
          <w:rFonts w:ascii="仿宋_GB2312" w:hAnsi="Times New Roman" w:eastAsia="仿宋_GB2312" w:cs="仿宋"/>
          <w:color w:val="000000"/>
          <w:sz w:val="32"/>
          <w:szCs w:val="32"/>
        </w:rPr>
      </w:pPr>
    </w:p>
    <w:p>
      <w:pPr>
        <w:snapToGrid w:val="0"/>
        <w:spacing w:line="288" w:lineRule="auto"/>
        <w:jc w:val="right"/>
        <w:rPr>
          <w:rFonts w:ascii="仿宋_GB2312" w:hAnsi="Times New Roman" w:eastAsia="仿宋_GB2312" w:cs="仿宋"/>
          <w:color w:val="000000"/>
          <w:sz w:val="32"/>
          <w:szCs w:val="32"/>
        </w:rPr>
      </w:pPr>
    </w:p>
    <w:p>
      <w:pPr>
        <w:snapToGrid w:val="0"/>
        <w:spacing w:line="288" w:lineRule="auto"/>
        <w:jc w:val="right"/>
        <w:rPr>
          <w:rFonts w:ascii="仿宋_GB2312" w:hAnsi="Times New Roman" w:eastAsia="仿宋_GB2312" w:cs="仿宋"/>
          <w:color w:val="000000"/>
          <w:sz w:val="32"/>
          <w:szCs w:val="32"/>
        </w:rPr>
      </w:pPr>
    </w:p>
    <w:p>
      <w:pPr>
        <w:snapToGrid w:val="0"/>
        <w:spacing w:line="288" w:lineRule="auto"/>
        <w:jc w:val="right"/>
        <w:rPr>
          <w:rFonts w:ascii="仿宋_GB2312" w:hAnsi="Times New Roman" w:eastAsia="仿宋_GB2312" w:cs="仿宋"/>
          <w:color w:val="000000"/>
          <w:sz w:val="32"/>
          <w:szCs w:val="32"/>
        </w:rPr>
      </w:pPr>
      <w:r>
        <w:rPr>
          <w:rFonts w:hint="eastAsia" w:ascii="仿宋_GB2312" w:hAnsi="Times New Roman" w:eastAsia="仿宋_GB2312" w:cs="仿宋"/>
          <w:color w:val="000000"/>
          <w:sz w:val="32"/>
          <w:szCs w:val="32"/>
        </w:rPr>
        <w:t>惠州大亚湾经济技术开发区市场监督管理局</w:t>
      </w:r>
    </w:p>
    <w:p>
      <w:pPr>
        <w:snapToGrid w:val="0"/>
        <w:spacing w:line="288" w:lineRule="auto"/>
        <w:ind w:firstLine="5440" w:firstLineChars="1700"/>
        <w:rPr>
          <w:rFonts w:ascii="仿宋_GB2312" w:hAnsi="Times New Roman" w:eastAsia="仿宋_GB2312" w:cs="仿宋"/>
          <w:color w:val="000000"/>
          <w:sz w:val="32"/>
          <w:szCs w:val="32"/>
        </w:rPr>
      </w:pPr>
      <w:r>
        <w:rPr>
          <w:rFonts w:hint="eastAsia" w:ascii="仿宋_GB2312" w:hAnsi="Times New Roman" w:eastAsia="仿宋_GB2312" w:cs="仿宋"/>
          <w:color w:val="000000"/>
          <w:sz w:val="32"/>
          <w:szCs w:val="32"/>
        </w:rPr>
        <w:t>（印 章）</w:t>
      </w:r>
    </w:p>
    <w:p>
      <w:pPr>
        <w:snapToGrid w:val="0"/>
        <w:spacing w:line="288" w:lineRule="auto"/>
        <w:ind w:firstLine="4800" w:firstLineChars="1500"/>
        <w:rPr>
          <w:rFonts w:ascii="仿宋_GB2312" w:hAnsi="Times New Roman" w:eastAsia="仿宋_GB2312" w:cs="仿宋"/>
          <w:color w:val="000000"/>
          <w:sz w:val="32"/>
          <w:szCs w:val="32"/>
        </w:rPr>
      </w:pPr>
      <w:r>
        <w:rPr>
          <w:rFonts w:hint="eastAsia" w:ascii="仿宋_GB2312" w:hAnsi="Times New Roman" w:eastAsia="仿宋_GB2312" w:cs="仿宋"/>
          <w:color w:val="000000"/>
          <w:sz w:val="32"/>
          <w:szCs w:val="32"/>
        </w:rPr>
        <w:t>202</w:t>
      </w:r>
      <w:r>
        <w:rPr>
          <w:rFonts w:ascii="仿宋_GB2312" w:hAnsi="Times New Roman" w:eastAsia="仿宋_GB2312" w:cs="仿宋"/>
          <w:color w:val="000000"/>
          <w:sz w:val="32"/>
          <w:szCs w:val="32"/>
        </w:rPr>
        <w:t>1</w:t>
      </w:r>
      <w:r>
        <w:rPr>
          <w:rFonts w:hint="eastAsia" w:ascii="仿宋_GB2312" w:hAnsi="Times New Roman" w:eastAsia="仿宋_GB2312" w:cs="仿宋"/>
          <w:color w:val="000000"/>
          <w:sz w:val="32"/>
          <w:szCs w:val="32"/>
        </w:rPr>
        <w:t xml:space="preserve">年 </w:t>
      </w:r>
      <w:r>
        <w:rPr>
          <w:rFonts w:ascii="仿宋_GB2312" w:hAnsi="Times New Roman" w:eastAsia="仿宋_GB2312" w:cs="仿宋"/>
          <w:color w:val="000000"/>
          <w:sz w:val="32"/>
          <w:szCs w:val="32"/>
        </w:rPr>
        <w:t>1</w:t>
      </w:r>
      <w:r>
        <w:rPr>
          <w:rFonts w:hint="eastAsia" w:ascii="仿宋_GB2312" w:hAnsi="Times New Roman" w:eastAsia="仿宋_GB2312" w:cs="仿宋"/>
          <w:color w:val="000000"/>
          <w:sz w:val="32"/>
          <w:szCs w:val="32"/>
        </w:rPr>
        <w:t>月</w:t>
      </w:r>
      <w:r>
        <w:rPr>
          <w:rFonts w:ascii="仿宋_GB2312" w:hAnsi="Times New Roman" w:eastAsia="仿宋_GB2312" w:cs="仿宋"/>
          <w:color w:val="000000"/>
          <w:sz w:val="32"/>
          <w:szCs w:val="32"/>
        </w:rPr>
        <w:t>27</w:t>
      </w:r>
      <w:r>
        <w:rPr>
          <w:rFonts w:hint="eastAsia" w:ascii="仿宋_GB2312" w:hAnsi="Times New Roman" w:eastAsia="仿宋_GB2312" w:cs="仿宋"/>
          <w:color w:val="000000"/>
          <w:sz w:val="32"/>
          <w:szCs w:val="32"/>
        </w:rPr>
        <w:t>日</w:t>
      </w:r>
    </w:p>
    <w:p>
      <w:pPr>
        <w:snapToGrid w:val="0"/>
        <w:spacing w:line="288" w:lineRule="auto"/>
        <w:jc w:val="center"/>
        <w:rPr>
          <w:rFonts w:ascii="黑体" w:hAnsi="黑体" w:eastAsia="黑体" w:cs="黑体"/>
          <w:color w:val="000000"/>
          <w:sz w:val="30"/>
          <w:szCs w:val="30"/>
        </w:rPr>
      </w:pPr>
    </w:p>
    <w:p>
      <w:pPr>
        <w:snapToGrid w:val="0"/>
        <w:spacing w:line="288" w:lineRule="auto"/>
        <w:jc w:val="center"/>
        <w:rPr>
          <w:rFonts w:ascii="黑体" w:hAnsi="黑体" w:eastAsia="黑体" w:cs="黑体"/>
          <w:color w:val="000000"/>
          <w:sz w:val="30"/>
          <w:szCs w:val="30"/>
        </w:rPr>
      </w:pPr>
    </w:p>
    <w:p>
      <w:pPr>
        <w:snapToGrid w:val="0"/>
        <w:spacing w:line="288" w:lineRule="auto"/>
        <w:jc w:val="center"/>
        <w:rPr>
          <w:rFonts w:ascii="黑体" w:hAnsi="黑体" w:eastAsia="黑体" w:cs="黑体"/>
          <w:color w:val="000000"/>
          <w:sz w:val="30"/>
          <w:szCs w:val="30"/>
        </w:rPr>
      </w:pPr>
    </w:p>
    <w:p>
      <w:pPr>
        <w:snapToGrid w:val="0"/>
        <w:spacing w:line="288" w:lineRule="auto"/>
        <w:jc w:val="center"/>
        <w:rPr>
          <w:rFonts w:ascii="黑体" w:hAnsi="黑体" w:eastAsia="黑体" w:cs="黑体"/>
          <w:color w:val="000000"/>
          <w:sz w:val="30"/>
          <w:szCs w:val="30"/>
        </w:rPr>
      </w:pPr>
    </w:p>
    <w:p>
      <w:pPr>
        <w:snapToGrid w:val="0"/>
        <w:spacing w:line="288" w:lineRule="auto"/>
        <w:jc w:val="center"/>
        <w:rPr>
          <w:rFonts w:ascii="黑体" w:hAnsi="黑体" w:eastAsia="黑体" w:cs="黑体"/>
          <w:color w:val="000000"/>
          <w:sz w:val="30"/>
          <w:szCs w:val="30"/>
        </w:rPr>
      </w:pPr>
      <w:r>
        <w:rPr>
          <w:rFonts w:hint="eastAsia" w:ascii="黑体" w:hAnsi="黑体" w:eastAsia="黑体" w:cs="黑体"/>
          <w:color w:val="000000"/>
          <w:sz w:val="30"/>
          <w:szCs w:val="30"/>
        </w:rPr>
        <w:t>（市场监督管理部门将依法向社会公示本行政处罚决定信息）</w:t>
      </w:r>
    </w:p>
    <w:p>
      <w:pPr>
        <w:snapToGrid w:val="0"/>
        <w:spacing w:line="288" w:lineRule="auto"/>
        <w:jc w:val="center"/>
        <w:rPr>
          <w:rFonts w:ascii="黑体" w:hAnsi="黑体" w:eastAsia="黑体" w:cs="黑体"/>
          <w:color w:val="000000"/>
          <w:sz w:val="28"/>
          <w:szCs w:val="28"/>
        </w:rPr>
      </w:pPr>
    </w:p>
    <w:p>
      <w:pPr>
        <w:snapToGrid w:val="0"/>
        <w:spacing w:line="288" w:lineRule="auto"/>
        <w:jc w:val="center"/>
        <w:rPr>
          <w:rFonts w:ascii="Times New Roman" w:hAnsi="Times New Roman" w:eastAsia="仿宋_GB2312" w:cs="仿宋"/>
          <w:bCs/>
          <w:color w:val="000000"/>
          <w:sz w:val="32"/>
          <w:szCs w:val="32"/>
        </w:rPr>
      </w:pPr>
      <w:r>
        <w:rPr>
          <w:rFonts w:hint="eastAsia" w:ascii="Times New Roman" w:hAnsi="Times New Roman" w:eastAsia="仿宋_GB2312"/>
          <w:sz w:val="32"/>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200660</wp:posOffset>
                </wp:positionV>
                <wp:extent cx="5550535" cy="635"/>
                <wp:effectExtent l="0" t="0" r="31115" b="37465"/>
                <wp:wrapNone/>
                <wp:docPr id="11" name="直接连接符 11"/>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top:15.8pt;height:0.05pt;width:437.05pt;mso-position-horizontal:right;mso-position-horizontal-relative:margin;z-index:251662336;mso-width-relative:page;mso-height-relative:page;" filled="f" stroked="t" coordsize="21600,21600" o:gfxdata="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YgPLF1gAAAAYBAAAPAAAAAAAAAAEAIAAAACIA&#10;AABkcnMvZG93bnJldi54bWxQSwECFAAUAAAACACHTuJAKTdHr9IBAACPAwAADgAAAAAAAAABACAA&#10;AAAlAQAAZHJzL2Uyb0RvYy54bWxQSwUGAAAAAAYABgBZAQAAaQUAAAAA&#10;">
                <v:fill on="f" focussize="0,0"/>
                <v:stroke weight="1.25pt" color="#000000" joinstyle="round"/>
                <v:imagedata o:title=""/>
                <o:lock v:ext="edit" aspectratio="f"/>
              </v:line>
            </w:pict>
          </mc:Fallback>
        </mc:AlternateContent>
      </w:r>
    </w:p>
    <w:p>
      <w:pPr>
        <w:snapToGrid w:val="0"/>
        <w:spacing w:line="288" w:lineRule="auto"/>
        <w:jc w:val="center"/>
        <w:rPr>
          <w:rFonts w:ascii="Times New Roman" w:hAnsi="Times New Roman" w:eastAsia="仿宋_GB2312" w:cs="仿宋"/>
          <w:color w:val="000000"/>
          <w:sz w:val="32"/>
          <w:szCs w:val="32"/>
        </w:rPr>
      </w:pPr>
      <w:r>
        <w:rPr>
          <w:rFonts w:hint="eastAsia" w:ascii="Times New Roman" w:hAnsi="Times New Roman" w:eastAsia="仿宋_GB2312" w:cs="仿宋"/>
          <w:bCs/>
          <w:color w:val="000000"/>
          <w:sz w:val="32"/>
          <w:szCs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1638.35pt;height:0.1pt;width:453.75pt;z-index:251661312;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L7/OR1wAAAAoBAAAPAAAAAAAAAAEA&#10;IAAAACIAAABkcnMvZG93bnJldi54bWxQSwECFAAUAAAACACHTuJAJXomzNcBAACNAwAADgAAAAAA&#10;AAABACAAAAAmAQAAZHJzL2Uyb0RvYy54bWxQSwUGAAAAAAYABgBZAQAAbwU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rPr>
        <w:t xml:space="preserve"> 二 </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rPr>
        <w:t xml:space="preserve"> 一 </w:t>
      </w:r>
      <w:r>
        <w:rPr>
          <w:rFonts w:hint="eastAsia" w:ascii="Times New Roman" w:hAnsi="Times New Roman" w:eastAsia="仿宋_GB2312" w:cs="仿宋"/>
          <w:color w:val="000000"/>
          <w:sz w:val="32"/>
          <w:szCs w:val="32"/>
        </w:rPr>
        <w:t>份送达，一份归档。</w:t>
      </w:r>
    </w:p>
    <w:sectPr>
      <w:footerReference r:id="rId3" w:type="default"/>
      <w:pgSz w:w="11906" w:h="16838"/>
      <w:pgMar w:top="1440" w:right="1559" w:bottom="1440" w:left="155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ongolian Baiti">
    <w:panose1 w:val="03000500000000000000"/>
    <w:charset w:val="00"/>
    <w:family w:val="script"/>
    <w:pitch w:val="default"/>
    <w:sig w:usb0="80000023" w:usb1="00000000" w:usb2="00020000" w:usb3="00000000" w:csb0="00000001" w:csb1="0000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sz w:val="28"/>
        <w:szCs w:val="28"/>
      </w:rPr>
    </w:pPr>
    <w:r>
      <w:rPr>
        <w:rFonts w:hint="eastAsia"/>
        <w:sz w:val="28"/>
        <w:szCs w:val="28"/>
      </w:rPr>
      <w:t xml:space="preserve">第 </w:t>
    </w:r>
    <w:r>
      <w:rPr>
        <w:sz w:val="28"/>
        <w:szCs w:val="28"/>
      </w:rPr>
      <w:fldChar w:fldCharType="begin"/>
    </w:r>
    <w:r>
      <w:rPr>
        <w:sz w:val="28"/>
        <w:szCs w:val="28"/>
      </w:rPr>
      <w:instrText xml:space="preserve"> </w:instrText>
    </w:r>
    <w:r>
      <w:rPr>
        <w:rFonts w:hint="eastAsia"/>
        <w:sz w:val="28"/>
        <w:szCs w:val="28"/>
      </w:rPr>
      <w:instrText xml:space="preserve">P</w:instrText>
    </w:r>
    <w:r>
      <w:rPr>
        <w:sz w:val="28"/>
        <w:szCs w:val="28"/>
      </w:rPr>
      <w:instrText xml:space="preserve">age </w:instrText>
    </w:r>
    <w:r>
      <w:rPr>
        <w:sz w:val="28"/>
        <w:szCs w:val="28"/>
      </w:rPr>
      <w:fldChar w:fldCharType="separate"/>
    </w:r>
    <w:r>
      <w:rPr>
        <w:sz w:val="28"/>
        <w:szCs w:val="28"/>
      </w:rPr>
      <w:t>1</w:t>
    </w:r>
    <w:r>
      <w:rPr>
        <w:sz w:val="28"/>
        <w:szCs w:val="28"/>
      </w:rPr>
      <w:fldChar w:fldCharType="end"/>
    </w:r>
    <w:r>
      <w:rPr>
        <w:sz w:val="28"/>
        <w:szCs w:val="28"/>
      </w:rPr>
      <w:t xml:space="preserve"> </w:t>
    </w:r>
    <w:r>
      <w:rPr>
        <w:rFonts w:hint="eastAsia"/>
        <w:sz w:val="28"/>
        <w:szCs w:val="28"/>
      </w:rPr>
      <w:t xml:space="preserve">页，共 </w:t>
    </w:r>
    <w:r>
      <w:rPr>
        <w:sz w:val="28"/>
        <w:szCs w:val="28"/>
      </w:rPr>
      <w:fldChar w:fldCharType="begin"/>
    </w:r>
    <w:r>
      <w:rPr>
        <w:sz w:val="28"/>
        <w:szCs w:val="28"/>
      </w:rPr>
      <w:instrText xml:space="preserve"> </w:instrText>
    </w:r>
    <w:r>
      <w:rPr>
        <w:rFonts w:hint="eastAsia"/>
        <w:sz w:val="28"/>
        <w:szCs w:val="28"/>
      </w:rPr>
      <w:instrText xml:space="preserve">Numpages</w:instrText>
    </w:r>
    <w:r>
      <w:rPr>
        <w:sz w:val="28"/>
        <w:szCs w:val="28"/>
      </w:rPr>
      <w:instrText xml:space="preserve"> </w:instrText>
    </w:r>
    <w:r>
      <w:rPr>
        <w:sz w:val="28"/>
        <w:szCs w:val="28"/>
      </w:rPr>
      <w:fldChar w:fldCharType="separate"/>
    </w:r>
    <w:r>
      <w:rPr>
        <w:sz w:val="28"/>
        <w:szCs w:val="28"/>
      </w:rPr>
      <w:t>3</w:t>
    </w:r>
    <w:r>
      <w:rPr>
        <w:sz w:val="28"/>
        <w:szCs w:val="28"/>
      </w:rPr>
      <w:fldChar w:fldCharType="end"/>
    </w:r>
    <w:r>
      <w:rPr>
        <w:sz w:val="28"/>
        <w:szCs w:val="28"/>
      </w:rPr>
      <w:t xml:space="preserve"> </w:t>
    </w:r>
    <w:r>
      <w:rPr>
        <w:rFonts w:hint="eastAsia"/>
        <w:sz w:val="28"/>
        <w:szCs w:val="28"/>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07C"/>
    <w:rsid w:val="00004DB2"/>
    <w:rsid w:val="000459D7"/>
    <w:rsid w:val="000A07A3"/>
    <w:rsid w:val="000A0D11"/>
    <w:rsid w:val="000D60EF"/>
    <w:rsid w:val="000E3051"/>
    <w:rsid w:val="0011607C"/>
    <w:rsid w:val="00202C35"/>
    <w:rsid w:val="002220EE"/>
    <w:rsid w:val="00264CC5"/>
    <w:rsid w:val="0026739F"/>
    <w:rsid w:val="00301EA7"/>
    <w:rsid w:val="00302C5B"/>
    <w:rsid w:val="003B3582"/>
    <w:rsid w:val="003C41D5"/>
    <w:rsid w:val="0042189A"/>
    <w:rsid w:val="004D3FC9"/>
    <w:rsid w:val="004F490F"/>
    <w:rsid w:val="0051596A"/>
    <w:rsid w:val="00517983"/>
    <w:rsid w:val="005826D1"/>
    <w:rsid w:val="00617C40"/>
    <w:rsid w:val="006C3DC0"/>
    <w:rsid w:val="006E082C"/>
    <w:rsid w:val="00706A97"/>
    <w:rsid w:val="0072144A"/>
    <w:rsid w:val="00772093"/>
    <w:rsid w:val="007B291C"/>
    <w:rsid w:val="008426C5"/>
    <w:rsid w:val="00886B1B"/>
    <w:rsid w:val="008D4B1B"/>
    <w:rsid w:val="008F1161"/>
    <w:rsid w:val="00967B7A"/>
    <w:rsid w:val="00986E84"/>
    <w:rsid w:val="009B71CA"/>
    <w:rsid w:val="009C1478"/>
    <w:rsid w:val="009C14D7"/>
    <w:rsid w:val="009D54CC"/>
    <w:rsid w:val="00A038BE"/>
    <w:rsid w:val="00A843B5"/>
    <w:rsid w:val="00AD694A"/>
    <w:rsid w:val="00B33487"/>
    <w:rsid w:val="00C47590"/>
    <w:rsid w:val="00C6591B"/>
    <w:rsid w:val="00C94B8B"/>
    <w:rsid w:val="00CB3915"/>
    <w:rsid w:val="00CC45E6"/>
    <w:rsid w:val="00D57D9F"/>
    <w:rsid w:val="00E13648"/>
    <w:rsid w:val="00E55177"/>
    <w:rsid w:val="00E93918"/>
    <w:rsid w:val="00FA2C51"/>
    <w:rsid w:val="00FC6CE9"/>
    <w:rsid w:val="7A465A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8"/>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8">
    <w:name w:val="页眉 字符"/>
    <w:basedOn w:val="7"/>
    <w:link w:val="5"/>
    <w:uiPriority w:val="99"/>
    <w:rPr>
      <w:sz w:val="18"/>
      <w:szCs w:val="18"/>
    </w:rPr>
  </w:style>
  <w:style w:type="character" w:customStyle="1" w:styleId="9">
    <w:name w:val="页脚 字符"/>
    <w:basedOn w:val="7"/>
    <w:link w:val="4"/>
    <w:qFormat/>
    <w:uiPriority w:val="99"/>
    <w:rPr>
      <w:sz w:val="18"/>
      <w:szCs w:val="18"/>
    </w:rPr>
  </w:style>
  <w:style w:type="character" w:customStyle="1" w:styleId="10">
    <w:name w:val="批注框文本 字符"/>
    <w:basedOn w:val="7"/>
    <w:link w:val="3"/>
    <w:semiHidden/>
    <w:qFormat/>
    <w:uiPriority w:val="99"/>
    <w:rPr>
      <w:rFonts w:ascii="Calibri" w:hAnsi="Calibri" w:eastAsia="宋体" w:cs="Times New Roman"/>
      <w:sz w:val="18"/>
      <w:szCs w:val="18"/>
    </w:rPr>
  </w:style>
  <w:style w:type="character" w:customStyle="1" w:styleId="11">
    <w:name w:val="日期 字符"/>
    <w:basedOn w:val="7"/>
    <w:link w:val="2"/>
    <w:semiHidden/>
    <w:qFormat/>
    <w:uiPriority w:val="99"/>
    <w:rPr>
      <w:rFonts w:ascii="Calibri" w:hAnsi="Calibri" w:eastAsia="宋体" w:cs="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4</Pages>
  <Words>437</Words>
  <Characters>2494</Characters>
  <Lines>20</Lines>
  <Paragraphs>5</Paragraphs>
  <TotalTime>95</TotalTime>
  <ScaleCrop>false</ScaleCrop>
  <LinksUpToDate>false</LinksUpToDate>
  <CharactersWithSpaces>2926</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2019-07-24T10:42:00Z</dcterms:created>
  <dc:creator>Windows 用户</dc:creator>
  <cp:lastModifiedBy>Administrator</cp:lastModifiedBy>
  <cp:lastPrinted>2020-07-24T08:26:00Z</cp:lastPrinted>
  <dcterms:modified xsi:type="dcterms:W3CDTF">2021-06-22T06:46:02Z</dcterms:modified>
  <dc:title>惠州大亚湾经济技术开发区市场监督管理局</dc:title>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