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Cs/>
          <w:color w:val="000000"/>
          <w:sz w:val="44"/>
          <w:szCs w:val="44"/>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行政处罚决定书</w:t>
      </w: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Times New Roman" w:eastAsia="仿宋_GB2312" w:cs="仿宋"/>
          <w:color w:val="000000"/>
          <w:sz w:val="32"/>
          <w:szCs w:val="32"/>
          <w:u w:val="single"/>
        </w:rPr>
        <w:t>惠湾</w:t>
      </w:r>
      <w:r>
        <w:rPr>
          <w:rFonts w:hint="eastAsia" w:ascii="仿宋_GB2312" w:hAnsi="Times New Roman" w:eastAsia="仿宋_GB2312" w:cs="仿宋"/>
          <w:color w:val="000000"/>
          <w:sz w:val="32"/>
          <w:szCs w:val="32"/>
        </w:rPr>
        <w:t>市监</w:t>
      </w:r>
      <w:r>
        <w:rPr>
          <w:rFonts w:hint="eastAsia" w:ascii="仿宋_GB2312" w:hAnsi="Times New Roman" w:eastAsia="仿宋_GB2312" w:cs="仿宋"/>
          <w:color w:val="000000"/>
          <w:sz w:val="32"/>
          <w:szCs w:val="32"/>
          <w:u w:val="single"/>
        </w:rPr>
        <w:t>西处字</w:t>
      </w:r>
      <w:r>
        <w:rPr>
          <w:rFonts w:hint="eastAsia" w:ascii="仿宋_GB2312" w:hAnsi="Times New Roman" w:eastAsia="仿宋_GB2312" w:cs="仿宋"/>
          <w:color w:val="000000"/>
          <w:sz w:val="32"/>
          <w:szCs w:val="32"/>
        </w:rPr>
        <w:t>〔</w:t>
      </w:r>
      <w:r>
        <w:rPr>
          <w:rFonts w:hint="eastAsia" w:ascii="仿宋_GB2312" w:hAnsi="Times New Roman" w:eastAsia="仿宋_GB2312" w:cs="仿宋"/>
          <w:color w:val="000000"/>
          <w:sz w:val="32"/>
          <w:szCs w:val="32"/>
          <w:u w:val="single"/>
        </w:rPr>
        <w:t>202</w:t>
      </w:r>
      <w:r>
        <w:rPr>
          <w:rFonts w:hint="eastAsia" w:ascii="仿宋_GB2312" w:hAnsi="Times New Roman" w:eastAsia="仿宋_GB2312" w:cs="仿宋"/>
          <w:color w:val="000000"/>
          <w:sz w:val="32"/>
          <w:szCs w:val="32"/>
          <w:u w:val="single"/>
          <w:lang w:val="en-US" w:eastAsia="zh-CN"/>
        </w:rPr>
        <w:t>1</w:t>
      </w:r>
      <w:r>
        <w:rPr>
          <w:rFonts w:hint="eastAsia" w:ascii="仿宋_GB2312" w:hAnsi="Times New Roman" w:eastAsia="仿宋_GB2312" w:cs="仿宋"/>
          <w:color w:val="000000"/>
          <w:sz w:val="32"/>
          <w:szCs w:val="32"/>
        </w:rPr>
        <w:t>〕</w:t>
      </w:r>
      <w:r>
        <w:rPr>
          <w:rFonts w:hint="eastAsia" w:ascii="仿宋_GB2312" w:hAnsi="Times New Roman" w:eastAsia="仿宋_GB2312" w:cs="仿宋"/>
          <w:color w:val="000000"/>
          <w:sz w:val="32"/>
          <w:szCs w:val="32"/>
          <w:u w:val="single"/>
          <w:lang w:val="en-US" w:eastAsia="zh-CN"/>
        </w:rPr>
        <w:t>70</w:t>
      </w:r>
      <w:r>
        <w:rPr>
          <w:rFonts w:hint="eastAsia" w:ascii="仿宋_GB2312" w:hAnsi="Times New Roman" w:eastAsia="仿宋_GB2312" w:cs="仿宋"/>
          <w:color w:val="000000"/>
          <w:sz w:val="32"/>
          <w:szCs w:val="32"/>
        </w:rPr>
        <w:t>号</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Mongolian Baiti"/>
          <w:sz w:val="32"/>
          <w:szCs w:val="32"/>
        </w:rPr>
      </w:pPr>
      <w:r>
        <w:rPr>
          <w:rFonts w:hint="eastAsia" w:ascii="仿宋_GB2312" w:hAnsi="Times New Roman" w:eastAsia="仿宋_GB2312" w:cs="微软雅黑"/>
          <w:kern w:val="1"/>
          <w:sz w:val="32"/>
          <w:szCs w:val="32"/>
        </w:rPr>
        <w:t>当事人</w:t>
      </w:r>
      <w:r>
        <w:rPr>
          <w:rFonts w:hint="eastAsia" w:ascii="仿宋_GB2312" w:hAnsi="Times New Roman" w:eastAsia="仿宋_GB2312" w:cs="Mongolian Baiti"/>
          <w:kern w:val="1"/>
          <w:sz w:val="32"/>
          <w:szCs w:val="32"/>
        </w:rPr>
        <w:t>：</w:t>
      </w:r>
      <w:r>
        <w:rPr>
          <w:rFonts w:hint="eastAsia" w:ascii="仿宋_GB2312" w:hAnsi="Times New Roman" w:eastAsia="仿宋_GB2312" w:cs="Mongolian Baiti"/>
          <w:kern w:val="1"/>
          <w:sz w:val="32"/>
          <w:szCs w:val="32"/>
          <w:u w:val="single"/>
        </w:rPr>
        <w:t xml:space="preserve">惠州大亚湾小书斋教育信息咨询部（经营者：袁凯中）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r>
        <w:rPr>
          <w:rFonts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主体资格证照名称：</w:t>
      </w:r>
      <w:r>
        <w:rPr>
          <w:rFonts w:hint="eastAsia" w:ascii="仿宋_GB2312" w:hAnsi="Times New Roman" w:eastAsia="仿宋_GB2312" w:cs="Mongolian Baiti"/>
          <w:kern w:val="1"/>
          <w:sz w:val="32"/>
          <w:szCs w:val="32"/>
          <w:u w:val="single"/>
        </w:rPr>
        <w:t xml:space="preserve">营业执照                       </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统一社会信用代码：</w:t>
      </w:r>
      <w:r>
        <w:rPr>
          <w:rFonts w:hint="eastAsia" w:ascii="仿宋_GB2312" w:hAnsi="Times New Roman" w:eastAsia="仿宋_GB2312" w:cs="Mongolian Baiti"/>
          <w:kern w:val="1"/>
          <w:sz w:val="32"/>
          <w:szCs w:val="32"/>
          <w:u w:val="single"/>
        </w:rPr>
        <w:t>92441300MA53LFGH5L</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lang w:eastAsia="zh-CN"/>
        </w:rPr>
        <w:t>经营者</w:t>
      </w:r>
      <w:r>
        <w:rPr>
          <w:rFonts w:hint="eastAsia" w:ascii="仿宋_GB2312" w:hAnsi="Times New Roman" w:eastAsia="仿宋_GB2312" w:cs="Mongolian Baiti"/>
          <w:kern w:val="1"/>
          <w:sz w:val="32"/>
          <w:szCs w:val="32"/>
        </w:rPr>
        <w:t>：</w:t>
      </w:r>
      <w:r>
        <w:rPr>
          <w:rFonts w:hint="eastAsia" w:ascii="仿宋_GB2312" w:hAnsi="Times New Roman" w:eastAsia="仿宋_GB2312" w:cs="Mongolian Baiti"/>
          <w:kern w:val="1"/>
          <w:sz w:val="32"/>
          <w:szCs w:val="32"/>
          <w:u w:val="single"/>
        </w:rPr>
        <w:t xml:space="preserve">袁凯中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none"/>
        </w:rPr>
        <w:t xml:space="preserve">   </w:t>
      </w:r>
      <w:r>
        <w:rPr>
          <w:rFonts w:hint="eastAsia" w:ascii="仿宋_GB2312" w:hAnsi="楷体_GB2312" w:eastAsia="仿宋_GB2312" w:cs="楷体_GB2312"/>
          <w:color w:val="000000"/>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2021年2月23日，我局西区所执法人员依法对位于惠州大亚湾西区塘尾龙山小学斜对面的小书斋托管中心进行执法检查。现场检查时，该托管中心正常经营，该中心辅导老师和13名学生在场，该托管中心经营面积为200m</w:t>
      </w:r>
      <w:r>
        <w:rPr>
          <w:rFonts w:hint="eastAsia" w:ascii="仿宋_GB2312" w:hAnsi="仿宋_GB2312" w:eastAsia="仿宋_GB2312" w:cs="仿宋_GB2312"/>
          <w:sz w:val="32"/>
          <w:szCs w:val="32"/>
          <w:u w:val="single"/>
          <w:vertAlign w:val="superscript"/>
          <w:lang w:val="en-US" w:eastAsia="zh-CN"/>
        </w:rPr>
        <w:t>2</w:t>
      </w:r>
      <w:r>
        <w:rPr>
          <w:rFonts w:hint="eastAsia" w:ascii="仿宋_GB2312" w:hAnsi="仿宋_GB2312" w:eastAsia="仿宋_GB2312" w:cs="仿宋_GB2312"/>
          <w:sz w:val="32"/>
          <w:szCs w:val="32"/>
          <w:u w:val="single"/>
          <w:lang w:val="en-US" w:eastAsia="zh-CN"/>
        </w:rPr>
        <w:t>。该托管中心向执法人员提供了《营业执照》，执照显示惠州大亚湾小书斋教育信息咨询部的经营场所为惠州大亚湾西区大亚湾大道229号仁和卫城花园5栋二单元805号房，与现场实际地址不符合。该托管中心位于所在楼房的第三、四层楼，其中第三层有3个课室、1个游戏室以及1个办公室，第四层有1个就餐间、1个杂物间、1个厨房以及4个卧室，卧室内共有14张双架床，28个床位，现场检查时厨房内有1名工作人员在作业。执法人员现场未发现该托管中心持有《食品经营许可证》等相关证件，当事人亦无法提供。按程序审批后，我局于当日对当事人立案调查，并依法对该托管中心用于餐饮服务的工具、物品实施扣押行政强制措施[详见（财物清单：第10号）]。</w:t>
      </w:r>
      <w:r>
        <w:rPr>
          <w:rFonts w:hint="eastAsia" w:ascii="仿宋_GB2312" w:hAnsi="仿宋" w:eastAsia="仿宋_GB2312" w:cs="仿宋_GB2312"/>
          <w:sz w:val="32"/>
          <w:szCs w:val="32"/>
          <w:u w:val="single"/>
        </w:rPr>
        <w:t xml:space="preserve"> </w:t>
      </w:r>
      <w:r>
        <w:rPr>
          <w:rFonts w:ascii="仿宋_GB2312" w:hAnsi="仿宋" w:eastAsia="仿宋_GB2312" w:cs="仿宋_GB2312"/>
          <w:sz w:val="32"/>
          <w:szCs w:val="32"/>
          <w:u w:val="single"/>
        </w:rPr>
        <w:t xml:space="preserve">                                 </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none"/>
        </w:rPr>
        <w:t xml:space="preserve"> </w:t>
      </w:r>
      <w:r>
        <w:rPr>
          <w:rFonts w:hint="eastAsia" w:ascii="仿宋_GB2312" w:hAnsi="Times New Roman" w:eastAsia="仿宋_GB2312" w:cs="仿宋"/>
          <w:color w:val="000000"/>
          <w:sz w:val="32"/>
          <w:szCs w:val="32"/>
          <w:u w:val="none"/>
        </w:rPr>
        <w:t xml:space="preserve">   </w:t>
      </w:r>
      <w:r>
        <w:rPr>
          <w:rFonts w:hint="eastAsia" w:ascii="仿宋_GB2312" w:hAnsi="仿宋" w:eastAsia="仿宋_GB2312" w:cs="仿宋_GB2312"/>
          <w:sz w:val="32"/>
          <w:szCs w:val="32"/>
          <w:u w:val="single"/>
        </w:rPr>
        <w:t xml:space="preserve">经调查确认，当事人于2020年9月开始在惠州大亚湾西区塘尾龙山小学斜对面经营，其机构食堂也于2020年9月开始提供餐饮服务。根据对当事人的询问调查，当事人陈述其在2020年9月至2021年1月期间，经营情况差，招收学生人数不固定，已无法确定实际经营额。后续因2021年1月至2021年2月学生寒假期间，当事人未营业，机构食堂也未提供餐饮服务。2021年2月22日当事人重新营业，共招收13名学生，即截至执法人员检查时，该机构食堂于2021年2月22日和2021年2月23日提供餐饮服务，该机构食堂就餐人数为17人，其中学生13人，教师3人，厨师1人，饭菜标准为学生午餐7.5元，晚餐7.5元，教师及厨师免费就餐，由托管机构负责，属于员工福利，因此，可计算当事人违法所得为270元[计算方法：午餐：13名学生×7.5元×2天＝195元；晚餐：5名学生×7.5元×2天＝75元，合计270元]。在本案的调查过程中，执法人员现场未发现相关经营票据及账本账册，当事人未保存账本账册，已提供相关经营票据，根据票据可计算的进货食品货值金额合计1394元。现场扣押食品货值金额合计64元（大豆油货值金额64元）。因此，本案货值金额合计1458元。 </w:t>
      </w:r>
      <w:r>
        <w:rPr>
          <w:rFonts w:hint="eastAsia" w:ascii="仿宋_GB2312" w:hAnsi="仿宋" w:eastAsia="仿宋_GB2312" w:cs="仿宋_GB2312"/>
          <w:sz w:val="32"/>
          <w:szCs w:val="32"/>
          <w:u w:val="single"/>
          <w:lang w:val="en-US" w:eastAsia="zh-CN"/>
        </w:rPr>
        <w:t xml:space="preserve">                                </w:t>
      </w:r>
      <w:r>
        <w:rPr>
          <w:rFonts w:ascii="仿宋_GB2312" w:hAnsi="仿宋"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ind w:firstLine="640" w:firstLineChars="200"/>
        <w:textAlignment w:val="auto"/>
        <w:rPr>
          <w:rFonts w:hint="default" w:ascii="仿宋_GB2312" w:hAnsi="Times New Roman" w:eastAsia="仿宋_GB2312" w:cs="仿宋"/>
          <w:bCs/>
          <w:color w:val="000000"/>
          <w:sz w:val="32"/>
          <w:szCs w:val="32"/>
          <w:u w:val="single"/>
          <w:lang w:val="en-US" w:eastAsia="zh-CN"/>
        </w:rPr>
      </w:pPr>
      <w:r>
        <w:rPr>
          <w:rFonts w:hint="eastAsia" w:ascii="仿宋_GB2312" w:hAnsi="Times New Roman" w:eastAsia="仿宋_GB2312" w:cs="仿宋"/>
          <w:color w:val="000000"/>
          <w:sz w:val="32"/>
          <w:szCs w:val="32"/>
        </w:rPr>
        <w:t>上述事实，主要有以下证据证明：</w:t>
      </w:r>
      <w:r>
        <w:rPr>
          <w:rFonts w:hint="eastAsia" w:ascii="仿宋_GB2312" w:hAnsi="Times New Roman" w:eastAsia="仿宋_GB2312" w:cs="仿宋"/>
          <w:color w:val="000000"/>
          <w:sz w:val="32"/>
          <w:szCs w:val="32"/>
          <w:u w:val="single"/>
        </w:rPr>
        <w:t>2021年2月23日现场笔录1份</w:t>
      </w:r>
      <w:r>
        <w:rPr>
          <w:rFonts w:hint="eastAsia" w:ascii="仿宋_GB2312" w:hAnsi="Times New Roman" w:eastAsia="仿宋_GB2312" w:cs="仿宋"/>
          <w:color w:val="000000"/>
          <w:sz w:val="32"/>
          <w:szCs w:val="32"/>
          <w:u w:val="single"/>
          <w:lang w:val="en-US" w:eastAsia="zh-CN"/>
        </w:rPr>
        <w:t xml:space="preserve">，2021年2月23日现场照片8张，当事人营业执照复印件1份，经营者袁凯中身份证复印件和受委托人刘晓辉身份证复印件各1份，《授权委托书》1份，2021年2月24日对受委托人刘晓辉的询问笔录1份，当事人提供的《食堂就餐记录》复印件1份，当事人于2021年2月26日提交的《说明书》1份，当事人于2021年4月12日提交的《减轻处罚申请书》1份，当事人于2021年4月12日提交的《营业执照》和《食品经营许可证》复印件各1份。                                                   </w:t>
      </w:r>
      <w:r>
        <w:rPr>
          <w:rFonts w:hint="eastAsia" w:ascii="仿宋_GB2312" w:hAnsi="仿宋"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none"/>
        </w:rPr>
        <w:t xml:space="preserve"> </w:t>
      </w:r>
      <w:r>
        <w:rPr>
          <w:rFonts w:hint="eastAsia" w:ascii="仿宋_GB2312" w:hAnsi="Times New Roman" w:eastAsia="仿宋_GB2312" w:cs="仿宋"/>
          <w:color w:val="000000"/>
          <w:sz w:val="32"/>
          <w:szCs w:val="32"/>
          <w:u w:val="none"/>
        </w:rPr>
        <w:t xml:space="preserve">   </w:t>
      </w:r>
      <w:r>
        <w:rPr>
          <w:rFonts w:hint="eastAsia" w:ascii="仿宋_GB2312" w:hAnsi="Times New Roman" w:eastAsia="仿宋_GB2312" w:cs="仿宋"/>
          <w:color w:val="000000"/>
          <w:sz w:val="32"/>
          <w:szCs w:val="32"/>
          <w:u w:val="single"/>
        </w:rPr>
        <w:t>当事人未取得许可从事</w:t>
      </w:r>
      <w:r>
        <w:rPr>
          <w:rFonts w:hint="eastAsia" w:ascii="仿宋_GB2312" w:hAnsi="Times New Roman" w:eastAsia="仿宋_GB2312" w:cs="仿宋"/>
          <w:color w:val="000000"/>
          <w:sz w:val="32"/>
          <w:szCs w:val="32"/>
          <w:u w:val="single"/>
          <w:lang w:eastAsia="zh-CN"/>
        </w:rPr>
        <w:t>餐饮服务</w:t>
      </w:r>
      <w:r>
        <w:rPr>
          <w:rFonts w:hint="eastAsia" w:ascii="仿宋_GB2312" w:hAnsi="Times New Roman" w:eastAsia="仿宋_GB2312" w:cs="仿宋"/>
          <w:color w:val="000000"/>
          <w:sz w:val="32"/>
          <w:szCs w:val="32"/>
          <w:u w:val="single"/>
        </w:rPr>
        <w:t>的行为，违反了《中华人民共和国食品安全法》第三十五条第一款“国家对食品生产经营实行许可制度。从事食品生产、食品销售、餐饮服务，应当依法取得许可。但是，销售食用农产品，不需要取得许可。仅销售预包装食品的，应当报所在地县级以上地方人民政府食品安全监督管理部门备案。”的规定。</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lang w:val="en-US" w:eastAsia="zh-CN"/>
        </w:rPr>
        <w:t xml:space="preserve">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仿宋"/>
          <w:bCs/>
          <w:color w:val="000000"/>
          <w:sz w:val="32"/>
          <w:szCs w:val="32"/>
          <w:u w:val="single"/>
        </w:rPr>
      </w:pPr>
      <w:r>
        <w:rPr>
          <w:rFonts w:hint="eastAsia" w:ascii="仿宋_GB2312" w:hAnsi="Times New Roman" w:eastAsia="仿宋_GB2312" w:cs="仿宋"/>
          <w:bCs/>
          <w:color w:val="000000"/>
          <w:sz w:val="32"/>
          <w:szCs w:val="32"/>
          <w:u w:val="none"/>
        </w:rPr>
        <w:t xml:space="preserve"> </w:t>
      </w:r>
      <w:r>
        <w:rPr>
          <w:rFonts w:ascii="仿宋_GB2312" w:hAnsi="Times New Roman" w:eastAsia="仿宋_GB2312" w:cs="仿宋"/>
          <w:bCs/>
          <w:color w:val="000000"/>
          <w:sz w:val="32"/>
          <w:szCs w:val="32"/>
          <w:u w:val="none"/>
        </w:rPr>
        <w:t xml:space="preserve">   </w:t>
      </w:r>
      <w:r>
        <w:rPr>
          <w:rFonts w:hint="eastAsia" w:ascii="仿宋_GB2312" w:hAnsi="Times New Roman" w:eastAsia="仿宋_GB2312" w:cs="仿宋"/>
          <w:bCs/>
          <w:color w:val="000000"/>
          <w:sz w:val="32"/>
          <w:szCs w:val="32"/>
          <w:u w:val="single"/>
        </w:rPr>
        <w:t>2021年</w:t>
      </w:r>
      <w:r>
        <w:rPr>
          <w:rFonts w:hint="eastAsia" w:ascii="仿宋_GB2312" w:hAnsi="Times New Roman" w:eastAsia="仿宋_GB2312" w:cs="仿宋"/>
          <w:bCs/>
          <w:color w:val="000000"/>
          <w:sz w:val="32"/>
          <w:szCs w:val="32"/>
          <w:u w:val="single"/>
          <w:lang w:val="en-US" w:eastAsia="zh-CN"/>
        </w:rPr>
        <w:t>6</w:t>
      </w:r>
      <w:r>
        <w:rPr>
          <w:rFonts w:hint="eastAsia" w:ascii="仿宋_GB2312" w:hAnsi="Times New Roman" w:eastAsia="仿宋_GB2312" w:cs="仿宋"/>
          <w:bCs/>
          <w:color w:val="000000"/>
          <w:sz w:val="32"/>
          <w:szCs w:val="32"/>
          <w:u w:val="single"/>
        </w:rPr>
        <w:t>月</w:t>
      </w:r>
      <w:r>
        <w:rPr>
          <w:rFonts w:hint="eastAsia" w:ascii="仿宋_GB2312" w:hAnsi="Times New Roman" w:eastAsia="仿宋_GB2312" w:cs="仿宋"/>
          <w:bCs/>
          <w:color w:val="000000"/>
          <w:sz w:val="32"/>
          <w:szCs w:val="32"/>
          <w:u w:val="single"/>
          <w:lang w:val="en-US" w:eastAsia="zh-CN"/>
        </w:rPr>
        <w:t>1</w:t>
      </w:r>
      <w:r>
        <w:rPr>
          <w:rFonts w:hint="eastAsia" w:ascii="仿宋_GB2312" w:hAnsi="Times New Roman" w:eastAsia="仿宋_GB2312" w:cs="仿宋"/>
          <w:bCs/>
          <w:color w:val="000000"/>
          <w:sz w:val="32"/>
          <w:szCs w:val="32"/>
          <w:u w:val="single"/>
        </w:rPr>
        <w:t>日</w:t>
      </w:r>
      <w:r>
        <w:rPr>
          <w:rFonts w:hint="eastAsia" w:ascii="仿宋_GB2312" w:hAnsi="Times New Roman" w:eastAsia="仿宋_GB2312" w:cs="仿宋"/>
          <w:bCs/>
          <w:color w:val="000000"/>
          <w:sz w:val="32"/>
          <w:szCs w:val="32"/>
          <w:u w:val="single"/>
          <w:lang w:val="en-US" w:eastAsia="zh-CN"/>
        </w:rPr>
        <w:t>，</w:t>
      </w:r>
      <w:r>
        <w:rPr>
          <w:rFonts w:hint="eastAsia" w:ascii="仿宋_GB2312" w:hAnsi="Times New Roman" w:eastAsia="仿宋_GB2312" w:cs="仿宋"/>
          <w:bCs/>
          <w:color w:val="000000"/>
          <w:sz w:val="32"/>
          <w:szCs w:val="32"/>
          <w:u w:val="single"/>
        </w:rPr>
        <w:t>本局</w:t>
      </w:r>
      <w:r>
        <w:rPr>
          <w:rFonts w:hint="eastAsia" w:ascii="仿宋_GB2312" w:hAnsi="Times New Roman" w:eastAsia="仿宋_GB2312" w:cs="仿宋"/>
          <w:bCs/>
          <w:color w:val="000000"/>
          <w:sz w:val="32"/>
          <w:szCs w:val="32"/>
          <w:u w:val="single"/>
          <w:lang w:eastAsia="zh-CN"/>
        </w:rPr>
        <w:t>依法</w:t>
      </w:r>
      <w:r>
        <w:rPr>
          <w:rFonts w:hint="eastAsia" w:ascii="仿宋_GB2312" w:hAnsi="Times New Roman" w:eastAsia="仿宋_GB2312" w:cs="仿宋"/>
          <w:bCs/>
          <w:color w:val="000000"/>
          <w:sz w:val="32"/>
          <w:szCs w:val="32"/>
          <w:u w:val="single"/>
        </w:rPr>
        <w:t>向当事人直接送达《行政处罚</w:t>
      </w:r>
      <w:r>
        <w:rPr>
          <w:rFonts w:hint="eastAsia" w:ascii="仿宋_GB2312" w:hAnsi="Times New Roman" w:eastAsia="仿宋_GB2312" w:cs="仿宋"/>
          <w:bCs/>
          <w:color w:val="000000"/>
          <w:sz w:val="32"/>
          <w:szCs w:val="32"/>
          <w:u w:val="single"/>
          <w:lang w:eastAsia="zh-CN"/>
        </w:rPr>
        <w:t>听证</w:t>
      </w:r>
      <w:r>
        <w:rPr>
          <w:rFonts w:hint="eastAsia" w:ascii="仿宋_GB2312" w:hAnsi="Times New Roman" w:eastAsia="仿宋_GB2312" w:cs="仿宋"/>
          <w:bCs/>
          <w:color w:val="000000"/>
          <w:sz w:val="32"/>
          <w:szCs w:val="32"/>
          <w:u w:val="single"/>
        </w:rPr>
        <w:t>告知书》（惠湾市监西</w:t>
      </w:r>
      <w:r>
        <w:rPr>
          <w:rFonts w:hint="eastAsia" w:ascii="仿宋_GB2312" w:hAnsi="Times New Roman" w:eastAsia="仿宋_GB2312" w:cs="仿宋"/>
          <w:bCs/>
          <w:color w:val="000000"/>
          <w:sz w:val="32"/>
          <w:szCs w:val="32"/>
          <w:u w:val="single"/>
          <w:lang w:val="en-US" w:eastAsia="zh-CN"/>
        </w:rPr>
        <w:t>听</w:t>
      </w:r>
      <w:r>
        <w:rPr>
          <w:rFonts w:hint="eastAsia" w:ascii="仿宋_GB2312" w:hAnsi="Times New Roman" w:eastAsia="仿宋_GB2312" w:cs="仿宋"/>
          <w:bCs/>
          <w:color w:val="000000"/>
          <w:sz w:val="32"/>
          <w:szCs w:val="32"/>
          <w:u w:val="single"/>
        </w:rPr>
        <w:t>字〔2021〕</w:t>
      </w:r>
      <w:r>
        <w:rPr>
          <w:rFonts w:hint="eastAsia" w:ascii="仿宋_GB2312" w:hAnsi="Times New Roman" w:eastAsia="仿宋_GB2312" w:cs="仿宋"/>
          <w:bCs/>
          <w:color w:val="000000"/>
          <w:sz w:val="32"/>
          <w:szCs w:val="32"/>
          <w:u w:val="single"/>
          <w:lang w:val="en-US" w:eastAsia="zh-CN"/>
        </w:rPr>
        <w:t>20</w:t>
      </w:r>
      <w:r>
        <w:rPr>
          <w:rFonts w:hint="eastAsia" w:ascii="仿宋_GB2312" w:hAnsi="Times New Roman" w:eastAsia="仿宋_GB2312" w:cs="仿宋"/>
          <w:bCs/>
          <w:color w:val="000000"/>
          <w:sz w:val="32"/>
          <w:szCs w:val="32"/>
          <w:u w:val="single"/>
        </w:rPr>
        <w:t>号），当事人</w:t>
      </w:r>
      <w:r>
        <w:rPr>
          <w:rFonts w:hint="eastAsia" w:ascii="仿宋_GB2312" w:hAnsi="Times New Roman" w:eastAsia="仿宋_GB2312" w:cs="仿宋"/>
          <w:bCs/>
          <w:color w:val="000000"/>
          <w:sz w:val="32"/>
          <w:szCs w:val="32"/>
          <w:u w:val="single"/>
          <w:lang w:val="en-US" w:eastAsia="zh-CN"/>
        </w:rPr>
        <w:t>在法定期限内</w:t>
      </w:r>
      <w:r>
        <w:rPr>
          <w:rFonts w:hint="eastAsia" w:ascii="仿宋_GB2312" w:hAnsi="Times New Roman" w:eastAsia="仿宋_GB2312" w:cs="仿宋"/>
          <w:bCs/>
          <w:color w:val="000000"/>
          <w:sz w:val="32"/>
          <w:szCs w:val="32"/>
          <w:u w:val="single"/>
          <w:lang w:eastAsia="zh-CN"/>
        </w:rPr>
        <w:t>未</w:t>
      </w:r>
      <w:r>
        <w:rPr>
          <w:rFonts w:hint="eastAsia" w:ascii="仿宋_GB2312" w:hAnsi="Times New Roman" w:eastAsia="仿宋_GB2312" w:cs="仿宋"/>
          <w:bCs/>
          <w:color w:val="000000"/>
          <w:sz w:val="32"/>
          <w:szCs w:val="32"/>
          <w:u w:val="single"/>
        </w:rPr>
        <w:t>提出陈述、申辩意见</w:t>
      </w:r>
      <w:r>
        <w:rPr>
          <w:rFonts w:hint="eastAsia" w:ascii="仿宋_GB2312" w:hAnsi="Times New Roman" w:eastAsia="仿宋_GB2312" w:cs="仿宋"/>
          <w:bCs/>
          <w:color w:val="000000"/>
          <w:sz w:val="32"/>
          <w:szCs w:val="32"/>
          <w:u w:val="single"/>
          <w:lang w:eastAsia="zh-CN"/>
        </w:rPr>
        <w:t>，未申请听证</w:t>
      </w:r>
      <w:r>
        <w:rPr>
          <w:rFonts w:hint="eastAsia"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lang w:val="en-US" w:eastAsia="zh-CN"/>
        </w:rPr>
        <w:t xml:space="preserve">                        </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仿宋"/>
          <w:bCs/>
          <w:color w:val="000000"/>
          <w:sz w:val="32"/>
          <w:szCs w:val="32"/>
          <w:u w:val="single"/>
        </w:rPr>
      </w:pPr>
      <w:r>
        <w:rPr>
          <w:rFonts w:hint="eastAsia" w:ascii="仿宋_GB2312" w:hAnsi="Times New Roman" w:eastAsia="仿宋_GB2312" w:cs="仿宋"/>
          <w:bCs/>
          <w:color w:val="000000"/>
          <w:sz w:val="32"/>
          <w:szCs w:val="32"/>
          <w:u w:val="none"/>
        </w:rPr>
        <w:t xml:space="preserve">    </w:t>
      </w:r>
      <w:r>
        <w:rPr>
          <w:rFonts w:hint="eastAsia" w:ascii="仿宋_GB2312" w:hAnsi="仿宋" w:eastAsia="仿宋_GB2312" w:cs="仿宋_GB2312"/>
          <w:bCs/>
          <w:sz w:val="32"/>
          <w:szCs w:val="32"/>
          <w:u w:val="single"/>
        </w:rPr>
        <w:t>鉴于当事人积极配合我局调查，如实交代违法事实，并于2021年4月12日提交《减轻处罚申请书》，能从主观认识到自身违法行为。在我局立案后，当事人积极整改，于2021年4月14日取得《食品经营许可证》。</w:t>
      </w:r>
      <w:r>
        <w:rPr>
          <w:rFonts w:hint="eastAsia" w:ascii="仿宋_GB2312" w:hAnsi="仿宋" w:eastAsia="仿宋_GB2312" w:cs="仿宋_GB2312"/>
          <w:bCs/>
          <w:sz w:val="32"/>
          <w:szCs w:val="32"/>
          <w:u w:val="single"/>
          <w:lang w:eastAsia="zh-CN"/>
        </w:rPr>
        <w:t>当事人的行为符合</w:t>
      </w:r>
      <w:r>
        <w:rPr>
          <w:rFonts w:hint="eastAsia" w:ascii="仿宋_GB2312" w:hAnsi="仿宋" w:eastAsia="仿宋_GB2312" w:cs="仿宋_GB2312"/>
          <w:bCs/>
          <w:sz w:val="32"/>
          <w:szCs w:val="32"/>
          <w:u w:val="single"/>
        </w:rPr>
        <w:t>《中华人民共和国行政处罚法》第二十七条第一款第四项“当事人有下列情形之一的，应当依法从轻或者减轻行政处罚:（四）其他依法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规定</w:t>
      </w:r>
      <w:r>
        <w:rPr>
          <w:rFonts w:hint="eastAsia" w:ascii="仿宋_GB2312" w:hAnsi="仿宋" w:eastAsia="仿宋_GB2312" w:cs="仿宋_GB2312"/>
          <w:bCs/>
          <w:sz w:val="32"/>
          <w:szCs w:val="32"/>
          <w:u w:val="single"/>
          <w:lang w:eastAsia="zh-CN"/>
        </w:rPr>
        <w:t>的</w:t>
      </w:r>
      <w:r>
        <w:rPr>
          <w:rFonts w:hint="eastAsia" w:ascii="仿宋_GB2312" w:hAnsi="仿宋" w:eastAsia="仿宋_GB2312" w:cs="仿宋_GB2312"/>
          <w:bCs/>
          <w:sz w:val="32"/>
          <w:szCs w:val="32"/>
          <w:u w:val="single"/>
        </w:rPr>
        <w:t>减轻</w:t>
      </w:r>
      <w:r>
        <w:rPr>
          <w:rFonts w:hint="eastAsia" w:ascii="仿宋_GB2312" w:hAnsi="仿宋" w:eastAsia="仿宋_GB2312" w:cs="仿宋_GB2312"/>
          <w:bCs/>
          <w:sz w:val="32"/>
          <w:szCs w:val="32"/>
          <w:u w:val="single"/>
          <w:lang w:eastAsia="zh-CN"/>
        </w:rPr>
        <w:t>情形</w:t>
      </w:r>
      <w:r>
        <w:rPr>
          <w:rFonts w:hint="eastAsia" w:ascii="仿宋_GB2312" w:hAnsi="仿宋" w:eastAsia="仿宋_GB2312" w:cs="仿宋_GB2312"/>
          <w:bCs/>
          <w:sz w:val="32"/>
          <w:szCs w:val="32"/>
          <w:u w:val="single"/>
        </w:rPr>
        <w:t xml:space="preserve">。 </w:t>
      </w:r>
      <w:r>
        <w:rPr>
          <w:rFonts w:ascii="仿宋_GB2312" w:hAnsi="仿宋" w:eastAsia="仿宋_GB2312" w:cs="仿宋_GB2312"/>
          <w:bCs/>
          <w:sz w:val="32"/>
          <w:szCs w:val="32"/>
          <w:u w:val="single"/>
        </w:rPr>
        <w:t xml:space="preserve">      </w:t>
      </w:r>
      <w:r>
        <w:rPr>
          <w:rFonts w:hint="eastAsia" w:ascii="仿宋_GB2312" w:hAnsi="仿宋" w:eastAsia="仿宋_GB2312" w:cs="仿宋_GB2312"/>
          <w:bCs/>
          <w:sz w:val="32"/>
          <w:szCs w:val="32"/>
          <w:u w:val="single"/>
          <w:lang w:val="en-US" w:eastAsia="zh-CN"/>
        </w:rPr>
        <w:t xml:space="preserve">   </w:t>
      </w:r>
      <w:r>
        <w:rPr>
          <w:rFonts w:ascii="仿宋_GB2312" w:hAnsi="仿宋"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仿宋" w:eastAsia="仿宋_GB2312" w:cs="仿宋_GB2312"/>
          <w:bCs/>
          <w:sz w:val="32"/>
          <w:szCs w:val="32"/>
          <w:u w:val="single"/>
        </w:rPr>
      </w:pPr>
      <w:r>
        <w:rPr>
          <w:rFonts w:hint="eastAsia" w:ascii="仿宋_GB2312" w:hAnsi="Times New Roman" w:eastAsia="仿宋_GB2312" w:cs="仿宋"/>
          <w:color w:val="000000"/>
          <w:sz w:val="32"/>
          <w:szCs w:val="32"/>
          <w:u w:val="none"/>
        </w:rPr>
        <w:t xml:space="preserve">    </w:t>
      </w:r>
      <w:r>
        <w:rPr>
          <w:rFonts w:hint="eastAsia" w:ascii="仿宋_GB2312" w:hAnsi="Times New Roman" w:eastAsia="仿宋_GB2312" w:cs="仿宋"/>
          <w:color w:val="000000"/>
          <w:sz w:val="32"/>
          <w:szCs w:val="32"/>
          <w:u w:val="single"/>
          <w:lang w:eastAsia="zh-CN"/>
        </w:rPr>
        <w:t>现</w:t>
      </w:r>
      <w:r>
        <w:rPr>
          <w:rFonts w:hint="eastAsia" w:ascii="仿宋_GB2312" w:hAnsi="仿宋" w:eastAsia="仿宋_GB2312" w:cs="仿宋_GB2312"/>
          <w:bCs/>
          <w:sz w:val="32"/>
          <w:szCs w:val="32"/>
          <w:u w:val="single"/>
        </w:rPr>
        <w:t>依据《中华人民共和国食品安全法》第一百二十二条第一款“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中华人民共和国行政处罚法》第二十七条第一款第四项“当事人有下列情形之一的，应当依法从轻或者减轻行政处罚：（四）其他依法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w:t>
      </w:r>
      <w:r>
        <w:rPr>
          <w:rFonts w:hint="eastAsia" w:ascii="仿宋_GB2312" w:hAnsi="仿宋" w:eastAsia="仿宋_GB2312" w:cs="仿宋_GB2312"/>
          <w:bCs/>
          <w:sz w:val="32"/>
          <w:szCs w:val="32"/>
          <w:u w:val="single"/>
          <w:lang w:eastAsia="zh-CN"/>
        </w:rPr>
        <w:t>以及《中华人民共和国行政处罚法》第二十三条“行政机关实施行政处罚时，应当责令当事人改正或者限期改正违法行为。”</w:t>
      </w:r>
      <w:r>
        <w:rPr>
          <w:rFonts w:hint="eastAsia" w:ascii="仿宋_GB2312" w:hAnsi="仿宋" w:eastAsia="仿宋_GB2312" w:cs="仿宋_GB2312"/>
          <w:bCs/>
          <w:sz w:val="32"/>
          <w:szCs w:val="32"/>
          <w:u w:val="single"/>
        </w:rPr>
        <w:t>的规定，本局责令当事人</w:t>
      </w:r>
      <w:r>
        <w:rPr>
          <w:rFonts w:hint="eastAsia" w:ascii="仿宋_GB2312" w:hAnsi="仿宋" w:eastAsia="仿宋_GB2312" w:cs="仿宋_GB2312"/>
          <w:bCs/>
          <w:sz w:val="32"/>
          <w:szCs w:val="32"/>
          <w:u w:val="single"/>
          <w:lang w:eastAsia="zh-CN"/>
        </w:rPr>
        <w:t>立即</w:t>
      </w:r>
      <w:r>
        <w:rPr>
          <w:rFonts w:hint="eastAsia" w:ascii="仿宋_GB2312" w:hAnsi="仿宋" w:eastAsia="仿宋_GB2312" w:cs="仿宋_GB2312"/>
          <w:bCs/>
          <w:sz w:val="32"/>
          <w:szCs w:val="32"/>
          <w:u w:val="single"/>
        </w:rPr>
        <w:t>停止违法经营行为，并决定</w:t>
      </w:r>
      <w:r>
        <w:rPr>
          <w:rFonts w:hint="eastAsia" w:ascii="仿宋_GB2312" w:hAnsi="仿宋" w:eastAsia="仿宋_GB2312" w:cs="仿宋_GB2312"/>
          <w:bCs/>
          <w:sz w:val="32"/>
          <w:szCs w:val="32"/>
          <w:u w:val="single"/>
          <w:lang w:eastAsia="zh-CN"/>
        </w:rPr>
        <w:t>给予</w:t>
      </w:r>
      <w:r>
        <w:rPr>
          <w:rFonts w:hint="eastAsia" w:ascii="仿宋_GB2312" w:hAnsi="仿宋" w:eastAsia="仿宋_GB2312" w:cs="仿宋_GB2312"/>
          <w:bCs/>
          <w:sz w:val="32"/>
          <w:szCs w:val="32"/>
          <w:u w:val="single"/>
        </w:rPr>
        <w:t xml:space="preserve">当事人以下减轻行政处罚：       </w:t>
      </w:r>
      <w:r>
        <w:rPr>
          <w:rFonts w:hint="eastAsia" w:ascii="仿宋_GB2312" w:hAnsi="仿宋" w:eastAsia="仿宋_GB2312" w:cs="仿宋_GB2312"/>
          <w:bCs/>
          <w:sz w:val="32"/>
          <w:szCs w:val="32"/>
          <w:u w:val="single"/>
          <w:lang w:val="en-US" w:eastAsia="zh-CN"/>
        </w:rPr>
        <w:t xml:space="preserve">              </w:t>
      </w:r>
      <w:r>
        <w:rPr>
          <w:rFonts w:hint="eastAsia" w:ascii="仿宋_GB2312" w:hAnsi="仿宋" w:eastAsia="仿宋_GB2312" w:cs="仿宋_GB2312"/>
          <w:bCs/>
          <w:sz w:val="32"/>
          <w:szCs w:val="32"/>
          <w:u w:val="single"/>
        </w:rPr>
        <w:t xml:space="preserve">    </w:t>
      </w:r>
      <w:r>
        <w:rPr>
          <w:rFonts w:hint="eastAsia" w:ascii="仿宋_GB2312" w:hAnsi="仿宋" w:eastAsia="仿宋_GB2312" w:cs="仿宋_GB2312"/>
          <w:bCs/>
          <w:sz w:val="32"/>
          <w:szCs w:val="32"/>
          <w:u w:val="single"/>
          <w:lang w:val="en-US" w:eastAsia="zh-CN"/>
        </w:rPr>
        <w:t xml:space="preserve">               </w:t>
      </w:r>
      <w:r>
        <w:rPr>
          <w:rFonts w:ascii="仿宋_GB2312" w:hAnsi="仿宋"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仿宋_GB2312" w:hAnsi="仿宋" w:eastAsia="仿宋_GB2312" w:cs="仿宋_GB2312"/>
          <w:bCs/>
          <w:sz w:val="32"/>
          <w:szCs w:val="32"/>
          <w:u w:val="single"/>
        </w:rPr>
      </w:pPr>
      <w:r>
        <w:rPr>
          <w:rFonts w:hint="eastAsia" w:ascii="仿宋_GB2312" w:hAnsi="仿宋" w:eastAsia="仿宋_GB2312" w:cs="仿宋_GB2312"/>
          <w:bCs/>
          <w:sz w:val="32"/>
          <w:szCs w:val="32"/>
          <w:u w:val="single"/>
        </w:rPr>
        <w:t xml:space="preserve">    一、没收违法所得人民币贰佰柒拾元（¥270.00）；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仿宋_GB2312" w:hAnsi="仿宋" w:eastAsia="仿宋_GB2312" w:cs="仿宋_GB2312"/>
          <w:bCs/>
          <w:sz w:val="32"/>
          <w:szCs w:val="32"/>
          <w:u w:val="single"/>
        </w:rPr>
      </w:pPr>
      <w:r>
        <w:rPr>
          <w:rFonts w:hint="eastAsia" w:ascii="仿宋_GB2312" w:hAnsi="仿宋" w:eastAsia="仿宋_GB2312" w:cs="仿宋_GB2312"/>
          <w:bCs/>
          <w:sz w:val="32"/>
          <w:szCs w:val="32"/>
          <w:u w:val="single"/>
        </w:rPr>
        <w:t xml:space="preserve">    二、没收用于违法生产经营的食品及工具；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default" w:ascii="仿宋_GB2312" w:hAnsi="仿宋" w:eastAsia="仿宋_GB2312" w:cs="仿宋_GB2312"/>
          <w:bCs/>
          <w:sz w:val="32"/>
          <w:szCs w:val="32"/>
          <w:u w:val="single"/>
          <w:lang w:val="en-US" w:eastAsia="zh-CN"/>
        </w:rPr>
      </w:pPr>
      <w:r>
        <w:rPr>
          <w:rFonts w:hint="eastAsia" w:ascii="仿宋_GB2312" w:hAnsi="仿宋" w:eastAsia="仿宋_GB2312" w:cs="仿宋_GB2312"/>
          <w:bCs/>
          <w:sz w:val="32"/>
          <w:szCs w:val="32"/>
          <w:u w:val="single"/>
        </w:rPr>
        <w:t xml:space="preserve">   </w:t>
      </w:r>
      <w:r>
        <w:rPr>
          <w:rFonts w:hint="eastAsia" w:ascii="仿宋_GB2312" w:hAnsi="仿宋" w:eastAsia="仿宋_GB2312" w:cs="仿宋_GB2312"/>
          <w:bCs/>
          <w:sz w:val="32"/>
          <w:szCs w:val="32"/>
          <w:u w:val="single"/>
          <w:lang w:val="en-US" w:eastAsia="zh-CN"/>
        </w:rPr>
        <w:t xml:space="preserve"> </w:t>
      </w:r>
      <w:r>
        <w:rPr>
          <w:rFonts w:hint="eastAsia" w:ascii="仿宋_GB2312" w:hAnsi="仿宋" w:eastAsia="仿宋_GB2312" w:cs="仿宋_GB2312"/>
          <w:bCs/>
          <w:sz w:val="32"/>
          <w:szCs w:val="32"/>
          <w:u w:val="single"/>
        </w:rPr>
        <w:t>三、处以罚款人民币伍仟元整（¥5000.00）。</w:t>
      </w:r>
      <w:r>
        <w:rPr>
          <w:rFonts w:hint="eastAsia" w:ascii="仿宋_GB2312" w:hAnsi="仿宋" w:eastAsia="仿宋_GB2312" w:cs="仿宋_GB2312"/>
          <w:bCs/>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460" w:lineRule="exact"/>
        <w:ind w:firstLine="640"/>
        <w:textAlignment w:val="auto"/>
        <w:rPr>
          <w:rFonts w:ascii="仿宋_GB2312" w:hAnsi="楷体_GB2312" w:eastAsia="仿宋_GB2312" w:cs="楷体_GB2312"/>
          <w:color w:val="000000"/>
          <w:sz w:val="32"/>
          <w:szCs w:val="32"/>
          <w:u w:val="single"/>
        </w:rPr>
      </w:pPr>
      <w:r>
        <w:rPr>
          <w:rFonts w:hint="eastAsia" w:ascii="仿宋_GB2312" w:hAnsi="楷体_GB2312" w:eastAsia="仿宋_GB2312" w:cs="楷体_GB2312"/>
          <w:color w:val="000000"/>
          <w:sz w:val="32"/>
          <w:szCs w:val="32"/>
          <w:u w:val="single"/>
        </w:rPr>
        <w:t xml:space="preserve">当事人应自接到本处罚决定书之日起15日到惠州大亚湾建设银行、工商银行、农业银行的其中一间银行缴纳罚款，或者使用惠州大亚湾经济技术开发区市场监督管理局的POS机刷卡缴纳罚款。逾期不缴纳罚款的，根据《中华人民共和国行政处罚法》第五十一条第（一）项的规定，每日按罚款数额的3%加处罚款，并依法申请人民法院强制执行。          </w:t>
      </w:r>
      <w:r>
        <w:rPr>
          <w:rFonts w:ascii="仿宋_GB2312" w:hAnsi="楷体_GB2312" w:eastAsia="仿宋_GB2312" w:cs="楷体_GB2312"/>
          <w:color w:val="000000"/>
          <w:sz w:val="32"/>
          <w:szCs w:val="32"/>
          <w:u w:val="single"/>
        </w:rPr>
        <w:t xml:space="preserve">          </w:t>
      </w:r>
      <w:r>
        <w:rPr>
          <w:rFonts w:hint="eastAsia" w:ascii="仿宋_GB2312" w:hAnsi="楷体_GB2312" w:eastAsia="仿宋_GB2312" w:cs="楷体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ascii="仿宋_GB2312" w:hAnsi="Times New Roman" w:eastAsia="仿宋_GB2312" w:cs="仿宋"/>
          <w:color w:val="000000"/>
          <w:sz w:val="32"/>
          <w:szCs w:val="32"/>
        </w:rPr>
      </w:pPr>
      <w:r>
        <w:rPr>
          <w:rFonts w:hint="eastAsia" w:ascii="仿宋_GB2312" w:hAnsi="楷体_GB2312" w:eastAsia="仿宋_GB2312" w:cs="楷体_GB2312"/>
          <w:color w:val="000000"/>
          <w:sz w:val="32"/>
          <w:szCs w:val="32"/>
          <w:u w:val="none"/>
        </w:rPr>
        <w:t xml:space="preserve">    </w:t>
      </w:r>
      <w:r>
        <w:rPr>
          <w:rFonts w:hint="eastAsia" w:ascii="仿宋_GB2312" w:hAnsi="楷体_GB2312" w:eastAsia="仿宋_GB2312" w:cs="楷体_GB2312"/>
          <w:color w:val="000000"/>
          <w:sz w:val="32"/>
          <w:szCs w:val="32"/>
          <w:u w:val="single"/>
        </w:rPr>
        <w:t xml:space="preserve">如不服从本处罚决定，可在接到本处罚决定书之日起60日内向惠州市市场监督管理局或大亚湾区管委会申请行政复议，也可于6个月内向博罗县人民法院提起行政诉讼。           </w:t>
      </w:r>
    </w:p>
    <w:p>
      <w:pPr>
        <w:keepNext w:val="0"/>
        <w:keepLines w:val="0"/>
        <w:pageBreakBefore w:val="0"/>
        <w:widowControl w:val="0"/>
        <w:kinsoku/>
        <w:wordWrap/>
        <w:overflowPunct/>
        <w:topLinePunct w:val="0"/>
        <w:autoSpaceDE/>
        <w:autoSpaceDN/>
        <w:bidi w:val="0"/>
        <w:adjustRightInd/>
        <w:snapToGrid w:val="0"/>
        <w:spacing w:line="460" w:lineRule="exact"/>
        <w:jc w:val="right"/>
        <w:textAlignment w:val="auto"/>
        <w:rPr>
          <w:rFonts w:ascii="仿宋_GB2312"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仿宋_GB2312"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仿宋_GB2312"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60" w:lineRule="exact"/>
        <w:jc w:val="right"/>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460" w:lineRule="exact"/>
        <w:ind w:firstLine="5120" w:firstLineChars="1600"/>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（印 章）</w:t>
      </w:r>
    </w:p>
    <w:p>
      <w:pPr>
        <w:keepNext w:val="0"/>
        <w:keepLines w:val="0"/>
        <w:pageBreakBefore w:val="0"/>
        <w:widowControl w:val="0"/>
        <w:kinsoku/>
        <w:wordWrap/>
        <w:overflowPunct/>
        <w:topLinePunct w:val="0"/>
        <w:autoSpaceDE/>
        <w:autoSpaceDN/>
        <w:bidi w:val="0"/>
        <w:adjustRightInd/>
        <w:snapToGrid w:val="0"/>
        <w:spacing w:line="460" w:lineRule="exact"/>
        <w:ind w:firstLine="4800" w:firstLineChars="1500"/>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202</w:t>
      </w:r>
      <w:r>
        <w:rPr>
          <w:rFonts w:hint="eastAsia" w:ascii="仿宋_GB2312" w:hAnsi="Times New Roman" w:eastAsia="仿宋_GB2312" w:cs="仿宋"/>
          <w:color w:val="000000"/>
          <w:sz w:val="32"/>
          <w:szCs w:val="32"/>
          <w:lang w:val="en-US" w:eastAsia="zh-CN"/>
        </w:rPr>
        <w:t>1</w:t>
      </w:r>
      <w:r>
        <w:rPr>
          <w:rFonts w:hint="eastAsia" w:ascii="仿宋_GB2312" w:hAnsi="Times New Roman" w:eastAsia="仿宋_GB2312" w:cs="仿宋"/>
          <w:color w:val="000000"/>
          <w:sz w:val="32"/>
          <w:szCs w:val="32"/>
        </w:rPr>
        <w:t>年</w:t>
      </w:r>
      <w:r>
        <w:rPr>
          <w:rFonts w:hint="eastAsia" w:ascii="仿宋_GB2312" w:hAnsi="Times New Roman" w:eastAsia="仿宋_GB2312" w:cs="仿宋"/>
          <w:color w:val="000000"/>
          <w:sz w:val="32"/>
          <w:szCs w:val="32"/>
          <w:lang w:val="en-US" w:eastAsia="zh-CN"/>
        </w:rPr>
        <w:t>6</w:t>
      </w:r>
      <w:r>
        <w:rPr>
          <w:rFonts w:hint="eastAsia" w:ascii="仿宋_GB2312" w:hAnsi="Times New Roman" w:eastAsia="仿宋_GB2312" w:cs="仿宋"/>
          <w:color w:val="000000"/>
          <w:sz w:val="32"/>
          <w:szCs w:val="32"/>
        </w:rPr>
        <w:t>月</w:t>
      </w:r>
      <w:r>
        <w:rPr>
          <w:rFonts w:hint="eastAsia" w:ascii="仿宋_GB2312" w:hAnsi="Times New Roman" w:eastAsia="仿宋_GB2312" w:cs="仿宋"/>
          <w:color w:val="000000"/>
          <w:sz w:val="32"/>
          <w:szCs w:val="32"/>
          <w:lang w:val="en-US" w:eastAsia="zh-CN"/>
        </w:rPr>
        <w:t>7</w:t>
      </w:r>
      <w:r>
        <w:rPr>
          <w:rFonts w:hint="eastAsia" w:ascii="仿宋_GB2312" w:hAnsi="Times New Roman" w:eastAsia="仿宋_GB2312" w:cs="仿宋"/>
          <w:color w:val="000000"/>
          <w:sz w:val="32"/>
          <w:szCs w:val="32"/>
        </w:rPr>
        <w:t>日</w:t>
      </w: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both"/>
        <w:textAlignment w:val="auto"/>
        <w:rPr>
          <w:rFonts w:ascii="黑体" w:hAnsi="黑体" w:eastAsia="黑体" w:cs="黑体"/>
          <w:color w:val="000000"/>
          <w:sz w:val="30"/>
          <w:szCs w:val="30"/>
        </w:rPr>
      </w:pP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1312" behindDoc="0" locked="0" layoutInCell="1" allowOverlap="1">
                <wp:simplePos x="0" y="0"/>
                <wp:positionH relativeFrom="margin">
                  <wp:posOffset>17780</wp:posOffset>
                </wp:positionH>
                <wp:positionV relativeFrom="paragraph">
                  <wp:posOffset>267335</wp:posOffset>
                </wp:positionV>
                <wp:extent cx="5550535" cy="635"/>
                <wp:effectExtent l="0" t="0" r="31115" b="3746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4pt;margin-top:21.05pt;height:0.05pt;width:437.05pt;mso-position-horizontal-relative:margin;z-index:251661312;mso-width-relative:page;mso-height-relative:page;" filled="f" stroked="t" coordsize="21600,21600" o:gfxdata="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lTUMi1gAAAAcBAAAPAAAAAAAAAAEAIAAAACIA&#10;AABkcnMvZG93bnJldi54bWxQSwECFAAUAAAACACHTuJAKTdHr9IBAACPAwAADgAAAAAAAAABACAA&#10;AAAlAQAAZHJzL2Uyb0RvYy54bWxQSwUGAAAAAAYABgBZAQAAaQUAAAAA&#10;">
                <v:fill on="f" focussize="0,0"/>
                <v:stroke weight="1.25pt" color="#000000" joinstyle="round"/>
                <v:imagedata o:title=""/>
                <o:lock v:ext="edit" aspectratio="f"/>
              </v:line>
            </w:pict>
          </mc:Fallback>
        </mc:AlternateContent>
      </w:r>
      <w:r>
        <w:rPr>
          <w:rFonts w:hint="eastAsia" w:ascii="黑体" w:hAnsi="黑体" w:eastAsia="黑体" w:cs="黑体"/>
          <w:color w:val="000000"/>
          <w:sz w:val="30"/>
          <w:szCs w:val="30"/>
        </w:rPr>
        <w:t>（市场监督管理部门将依法向社会公示本行政处罚决定信息）</w:t>
      </w: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一</w:t>
      </w:r>
      <w:r>
        <w:rPr>
          <w:rFonts w:hint="eastAsia" w:ascii="Times New Roman" w:hAnsi="Times New Roman" w:eastAsia="仿宋_GB2312" w:cs="仿宋"/>
          <w:color w:val="000000"/>
          <w:sz w:val="32"/>
          <w:szCs w:val="32"/>
        </w:rPr>
        <w:t>份送达，一份归档。</w:t>
      </w:r>
    </w:p>
    <w:sectPr>
      <w:footerReference r:id="rId3" w:type="default"/>
      <w:pgSz w:w="11906" w:h="16838"/>
      <w:pgMar w:top="1440" w:right="1559" w:bottom="1440"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rPr>
    </w:pPr>
    <w:r>
      <w:rPr>
        <w:rFonts w:hint="eastAsia"/>
        <w:sz w:val="28"/>
        <w:szCs w:val="28"/>
      </w:rPr>
      <w:t xml:space="preserve">第 </w:t>
    </w:r>
    <w:r>
      <w:rPr>
        <w:sz w:val="28"/>
        <w:szCs w:val="28"/>
      </w:rPr>
      <w:fldChar w:fldCharType="begin"/>
    </w:r>
    <w:r>
      <w:rPr>
        <w:sz w:val="28"/>
        <w:szCs w:val="28"/>
      </w:rPr>
      <w:instrText xml:space="preserve"> </w:instrText>
    </w:r>
    <w:r>
      <w:rPr>
        <w:rFonts w:hint="eastAsia"/>
        <w:sz w:val="28"/>
        <w:szCs w:val="28"/>
      </w:rPr>
      <w:instrText xml:space="preserve">P</w:instrText>
    </w:r>
    <w:r>
      <w:rPr>
        <w:sz w:val="28"/>
        <w:szCs w:val="28"/>
      </w:rPr>
      <w:instrText xml:space="preserve">age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页，共 </w:t>
    </w:r>
    <w:r>
      <w:rPr>
        <w:sz w:val="28"/>
        <w:szCs w:val="28"/>
      </w:rPr>
      <w:fldChar w:fldCharType="begin"/>
    </w:r>
    <w:r>
      <w:rPr>
        <w:sz w:val="28"/>
        <w:szCs w:val="28"/>
      </w:rPr>
      <w:instrText xml:space="preserve"> </w:instrText>
    </w:r>
    <w:r>
      <w:rPr>
        <w:rFonts w:hint="eastAsia"/>
        <w:sz w:val="28"/>
        <w:szCs w:val="28"/>
      </w:rPr>
      <w:instrText xml:space="preserve">Numpages</w:instrText>
    </w:r>
    <w:r>
      <w:rPr>
        <w:sz w:val="28"/>
        <w:szCs w:val="28"/>
      </w:rPr>
      <w:instrText xml:space="preserve"> </w:instrText>
    </w:r>
    <w:r>
      <w:rPr>
        <w:sz w:val="28"/>
        <w:szCs w:val="28"/>
      </w:rPr>
      <w:fldChar w:fldCharType="separate"/>
    </w:r>
    <w:r>
      <w:rPr>
        <w:sz w:val="28"/>
        <w:szCs w:val="28"/>
      </w:rPr>
      <w:t>3</w:t>
    </w:r>
    <w:r>
      <w:rPr>
        <w:sz w:val="28"/>
        <w:szCs w:val="28"/>
      </w:rPr>
      <w:fldChar w:fldCharType="end"/>
    </w:r>
    <w:r>
      <w:rPr>
        <w:sz w:val="28"/>
        <w:szCs w:val="28"/>
      </w:rPr>
      <w:t xml:space="preserve"> </w:t>
    </w:r>
    <w:r>
      <w:rPr>
        <w:rFonts w:hint="eastAsia"/>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04DB2"/>
    <w:rsid w:val="000459D7"/>
    <w:rsid w:val="000A07A3"/>
    <w:rsid w:val="000A0D11"/>
    <w:rsid w:val="000D60EF"/>
    <w:rsid w:val="000E3051"/>
    <w:rsid w:val="0011607C"/>
    <w:rsid w:val="00202C35"/>
    <w:rsid w:val="002220EE"/>
    <w:rsid w:val="00264CC5"/>
    <w:rsid w:val="0026739F"/>
    <w:rsid w:val="00301EA7"/>
    <w:rsid w:val="00302C5B"/>
    <w:rsid w:val="003B3582"/>
    <w:rsid w:val="003C41D5"/>
    <w:rsid w:val="0042189A"/>
    <w:rsid w:val="004D3FC9"/>
    <w:rsid w:val="004F490F"/>
    <w:rsid w:val="0051596A"/>
    <w:rsid w:val="00517983"/>
    <w:rsid w:val="005826D1"/>
    <w:rsid w:val="00617C40"/>
    <w:rsid w:val="006C3DC0"/>
    <w:rsid w:val="006E082C"/>
    <w:rsid w:val="00706A97"/>
    <w:rsid w:val="0072144A"/>
    <w:rsid w:val="00772093"/>
    <w:rsid w:val="008426C5"/>
    <w:rsid w:val="00886B1B"/>
    <w:rsid w:val="008D4B1B"/>
    <w:rsid w:val="008F1161"/>
    <w:rsid w:val="00967B7A"/>
    <w:rsid w:val="00986E84"/>
    <w:rsid w:val="009B71CA"/>
    <w:rsid w:val="009C1478"/>
    <w:rsid w:val="009C14D7"/>
    <w:rsid w:val="009D54CC"/>
    <w:rsid w:val="00A038BE"/>
    <w:rsid w:val="00AD694A"/>
    <w:rsid w:val="00B33487"/>
    <w:rsid w:val="00C47590"/>
    <w:rsid w:val="00C94B8B"/>
    <w:rsid w:val="00CB3915"/>
    <w:rsid w:val="00CC45E6"/>
    <w:rsid w:val="00D57D9F"/>
    <w:rsid w:val="00E13648"/>
    <w:rsid w:val="00E93918"/>
    <w:rsid w:val="00FA2C51"/>
    <w:rsid w:val="00FC6CE9"/>
    <w:rsid w:val="0A851809"/>
    <w:rsid w:val="1355032A"/>
    <w:rsid w:val="1792079C"/>
    <w:rsid w:val="1DDF725F"/>
    <w:rsid w:val="29557EBB"/>
    <w:rsid w:val="2CF61474"/>
    <w:rsid w:val="36C319F0"/>
    <w:rsid w:val="38D55630"/>
    <w:rsid w:val="3A716C16"/>
    <w:rsid w:val="3D4E0818"/>
    <w:rsid w:val="404833FF"/>
    <w:rsid w:val="48E46104"/>
    <w:rsid w:val="493B40D2"/>
    <w:rsid w:val="4BDC236A"/>
    <w:rsid w:val="4D9135A6"/>
    <w:rsid w:val="536A65EE"/>
    <w:rsid w:val="5CD95971"/>
    <w:rsid w:val="66FF44D9"/>
    <w:rsid w:val="67557703"/>
    <w:rsid w:val="69885C1E"/>
    <w:rsid w:val="6DC8274F"/>
    <w:rsid w:val="6E0E6FAF"/>
    <w:rsid w:val="6FF27DAC"/>
    <w:rsid w:val="712D60BB"/>
    <w:rsid w:val="75FC3427"/>
    <w:rsid w:val="7B3A6687"/>
    <w:rsid w:val="7D303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批注框文本 字符"/>
    <w:basedOn w:val="7"/>
    <w:link w:val="3"/>
    <w:semiHidden/>
    <w:qFormat/>
    <w:uiPriority w:val="99"/>
    <w:rPr>
      <w:rFonts w:ascii="Calibri" w:hAnsi="Calibri" w:eastAsia="宋体" w:cs="Times New Roman"/>
      <w:sz w:val="18"/>
      <w:szCs w:val="18"/>
    </w:rPr>
  </w:style>
  <w:style w:type="character" w:customStyle="1" w:styleId="11">
    <w:name w:val="日期 字符"/>
    <w:basedOn w:val="7"/>
    <w:link w:val="2"/>
    <w:semiHidden/>
    <w:qFormat/>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438</Words>
  <Characters>2499</Characters>
  <Lines>20</Lines>
  <Paragraphs>5</Paragraphs>
  <TotalTime>80</TotalTime>
  <ScaleCrop>false</ScaleCrop>
  <LinksUpToDate>false</LinksUpToDate>
  <CharactersWithSpaces>2932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2021-03-22T00:45:00Z</cp:lastPrinted>
  <dcterms:modified xsi:type="dcterms:W3CDTF">2021-06-22T06:49:41Z</dcterms:modified>
  <dc:title>惠州大亚湾经济技术开发区市场监督管理局</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820F98C200ED4D30A8D6156E2A027FBA</vt:lpwstr>
  </property>
</Properties>
</file>