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方正小标宋_GBK" w:hAnsi="方正小标宋_GBK" w:eastAsia="方正小标宋_GBK" w:cs="方正小标宋_GBK"/>
          <w:color w:val="000000"/>
          <w:sz w:val="44"/>
          <w:szCs w:val="44"/>
        </w:rPr>
      </w:pPr>
      <w:bookmarkStart w:id="2" w:name="_GoBack"/>
      <w:r>
        <w:rPr>
          <w:rFonts w:hint="eastAsia" w:ascii="方正小标宋_GBK" w:hAnsi="方正小标宋_GBK" w:eastAsia="方正小标宋_GBK" w:cs="方正小标宋_GBK"/>
          <w:bCs/>
          <w:color w:val="000000"/>
          <w:sz w:val="44"/>
          <w:szCs w:val="44"/>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方正小标宋_GBK" w:hAnsi="方正小标宋_GBK" w:eastAsia="方正小标宋_GBK" w:cs="方正小标宋_GBK"/>
          <w:bCs/>
          <w:color w:val="000000"/>
          <w:sz w:val="44"/>
          <w:szCs w:val="44"/>
        </w:rPr>
      </w:pPr>
      <w:r>
        <w:rPr>
          <w:rFonts w:hint="eastAsia" w:ascii="方正小标宋_GBK" w:hAnsi="方正小标宋_GBK" w:eastAsia="方正小标宋_GBK" w:cs="方正小标宋_GBK"/>
          <w:bCs/>
          <w:color w:val="000000"/>
          <w:sz w:val="44"/>
          <w:szCs w:val="44"/>
        </w:rPr>
        <w:t>行政处罚决定书</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mc:AlternateContent>
          <mc:Choice Requires="wps">
            <w:drawing>
              <wp:anchor distT="0" distB="0" distL="114300" distR="114300" simplePos="0" relativeHeight="251659264" behindDoc="0" locked="0" layoutInCell="1" allowOverlap="1">
                <wp:simplePos x="0" y="0"/>
                <wp:positionH relativeFrom="column">
                  <wp:posOffset>25400</wp:posOffset>
                </wp:positionH>
                <wp:positionV relativeFrom="paragraph">
                  <wp:posOffset>20802600</wp:posOffset>
                </wp:positionV>
                <wp:extent cx="5761990" cy="1270"/>
                <wp:effectExtent l="9525" t="9525" r="19685" b="17780"/>
                <wp:wrapNone/>
                <wp:docPr id="10" name="直接箭头连接符 10"/>
                <wp:cNvGraphicFramePr/>
                <a:graphic xmlns:a="http://schemas.openxmlformats.org/drawingml/2006/main">
                  <a:graphicData uri="http://schemas.microsoft.com/office/word/2010/wordprocessingShape">
                    <wps:wsp>
                      <wps:cNvCnPr/>
                      <wps:spPr>
                        <a:xfrm>
                          <a:off x="0" y="0"/>
                          <a:ext cx="5761990" cy="1270"/>
                        </a:xfrm>
                        <a:prstGeom prst="straightConnector1">
                          <a:avLst/>
                        </a:prstGeom>
                        <a:ln w="19050" cap="sq"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2pt;margin-top:1638pt;height:0.1pt;width:453.7pt;z-index:251659264;mso-width-relative:page;mso-height-relative:page;" filled="f" stroked="t" coordsize="21600,21600" o:gfxdata="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IteKJra&#10;AAAACwEAAA8AAAAAAAAAAQAgAAAAIgAAAGRycy9kb3ducmV2LnhtbFBLAQIUABQAAAAIAIdO4kDj&#10;x/DE5QEAAKIDAAAOAAAAAAAAAAEAIAAAACkBAABkcnMvZTJvRG9jLnhtbFBLBQYAAAAABgAGAFkB&#10;AACABQAAAAA=&#10;">
                <v:fill on="f" focussize="0,0"/>
                <v:stroke weight="1.5pt" color="#000000" joinstyle="round" endcap="square"/>
                <v:imagedata o:title=""/>
                <o:lock v:ext="edit" aspectratio="f"/>
              </v:shape>
            </w:pict>
          </mc:Fallback>
        </mc:AlternateContent>
      </w:r>
      <w:r>
        <w:rPr>
          <w:rFonts w:hint="eastAsia" w:ascii="仿宋_GB2312" w:hAnsi="仿宋_GB2312" w:eastAsia="仿宋_GB2312" w:cs="仿宋_GB2312"/>
          <w:color w:val="000000"/>
          <w:sz w:val="32"/>
          <w:szCs w:val="32"/>
          <w:u w:val="single"/>
        </w:rPr>
        <w:t>惠湾</w:t>
      </w:r>
      <w:r>
        <w:rPr>
          <w:rFonts w:hint="eastAsia" w:ascii="仿宋_GB2312" w:hAnsi="仿宋_GB2312" w:eastAsia="仿宋_GB2312" w:cs="仿宋_GB2312"/>
          <w:color w:val="000000"/>
          <w:sz w:val="32"/>
          <w:szCs w:val="32"/>
        </w:rPr>
        <w:t>市监</w:t>
      </w:r>
      <w:r>
        <w:rPr>
          <w:rFonts w:hint="eastAsia" w:ascii="仿宋_GB2312" w:hAnsi="仿宋_GB2312" w:eastAsia="仿宋_GB2312" w:cs="仿宋_GB2312"/>
          <w:color w:val="000000"/>
          <w:sz w:val="32"/>
          <w:szCs w:val="32"/>
          <w:u w:val="single"/>
        </w:rPr>
        <w:t>西处字</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rPr>
        <w:t>202</w:t>
      </w:r>
      <w:r>
        <w:rPr>
          <w:rFonts w:hint="eastAsia" w:ascii="仿宋_GB2312" w:hAnsi="仿宋_GB2312" w:eastAsia="仿宋_GB2312" w:cs="仿宋_GB2312"/>
          <w:color w:val="000000"/>
          <w:sz w:val="32"/>
          <w:szCs w:val="32"/>
          <w:u w:val="single"/>
          <w:lang w:val="en-US" w:eastAsia="zh-CN"/>
        </w:rPr>
        <w:t>1</w:t>
      </w: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u w:val="single"/>
          <w:lang w:val="en-US" w:eastAsia="zh-CN"/>
        </w:rPr>
        <w:t>37</w:t>
      </w:r>
      <w:r>
        <w:rPr>
          <w:rFonts w:hint="eastAsia" w:ascii="仿宋_GB2312" w:hAnsi="仿宋_GB2312" w:eastAsia="仿宋_GB2312" w:cs="仿宋_GB2312"/>
          <w:color w:val="000000"/>
          <w:sz w:val="32"/>
          <w:szCs w:val="32"/>
        </w:rPr>
        <w:t>号</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kern w:val="1"/>
          <w:sz w:val="32"/>
          <w:szCs w:val="32"/>
        </w:rPr>
        <w:t>当事人：</w:t>
      </w:r>
      <w:r>
        <w:rPr>
          <w:rFonts w:hint="eastAsia" w:ascii="仿宋_GB2312" w:hAnsi="仿宋_GB2312" w:eastAsia="仿宋_GB2312" w:cs="仿宋_GB2312"/>
          <w:kern w:val="1"/>
          <w:sz w:val="32"/>
          <w:szCs w:val="32"/>
          <w:u w:val="single"/>
        </w:rPr>
        <w:t xml:space="preserve">惠州市易进工业有限公司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主体资格证照名称：</w:t>
      </w:r>
      <w:r>
        <w:rPr>
          <w:rFonts w:hint="eastAsia" w:ascii="仿宋_GB2312" w:hAnsi="仿宋_GB2312" w:eastAsia="仿宋_GB2312" w:cs="仿宋_GB2312"/>
          <w:kern w:val="1"/>
          <w:sz w:val="32"/>
          <w:szCs w:val="32"/>
          <w:u w:val="single"/>
        </w:rPr>
        <w:t xml:space="preserve">营业执照                             </w:t>
      </w:r>
    </w:p>
    <w:p>
      <w:pPr>
        <w:keepNext w:val="0"/>
        <w:keepLines w:val="0"/>
        <w:pageBreakBefore w:val="0"/>
        <w:widowControl w:val="0"/>
        <w:kinsoku/>
        <w:wordWrap/>
        <w:overflowPunct/>
        <w:topLinePunct w:val="0"/>
        <w:autoSpaceDE/>
        <w:autoSpaceDN/>
        <w:bidi w:val="0"/>
        <w:adjustRightInd/>
        <w:snapToGrid w:val="0"/>
        <w:spacing w:line="4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统一社会信用代码：</w:t>
      </w:r>
      <w:r>
        <w:rPr>
          <w:rFonts w:hint="eastAsia" w:ascii="仿宋_GB2312" w:hAnsi="仿宋_GB2312" w:eastAsia="仿宋_GB2312" w:cs="仿宋_GB2312"/>
          <w:sz w:val="32"/>
          <w:szCs w:val="32"/>
          <w:u w:val="single"/>
        </w:rPr>
        <w:t xml:space="preserve">91441300726482870Y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住所：</w:t>
      </w:r>
      <w:r>
        <w:rPr>
          <w:rFonts w:hint="eastAsia" w:ascii="仿宋_GB2312" w:hAnsi="仿宋_GB2312" w:eastAsia="仿宋_GB2312" w:cs="仿宋_GB2312"/>
          <w:kern w:val="1"/>
          <w:sz w:val="32"/>
          <w:szCs w:val="32"/>
          <w:u w:val="single"/>
        </w:rPr>
        <w:t xml:space="preserve">惠州大亚湾经济技术开发区东风车城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ind w:left="140" w:hanging="140"/>
        <w:textAlignment w:val="auto"/>
        <w:rPr>
          <w:rFonts w:hint="eastAsia" w:ascii="仿宋_GB2312" w:hAnsi="仿宋_GB2312" w:eastAsia="仿宋_GB2312" w:cs="仿宋_GB2312"/>
          <w:kern w:val="1"/>
          <w:sz w:val="32"/>
          <w:szCs w:val="32"/>
          <w:u w:val="single"/>
        </w:rPr>
      </w:pPr>
      <w:r>
        <w:rPr>
          <w:rFonts w:hint="eastAsia" w:ascii="仿宋_GB2312" w:hAnsi="仿宋_GB2312" w:eastAsia="仿宋_GB2312" w:cs="仿宋_GB2312"/>
          <w:kern w:val="1"/>
          <w:sz w:val="32"/>
          <w:szCs w:val="32"/>
        </w:rPr>
        <w:t>法定代表人：</w:t>
      </w:r>
      <w:r>
        <w:rPr>
          <w:rFonts w:hint="eastAsia" w:ascii="仿宋_GB2312" w:hAnsi="仿宋_GB2312" w:eastAsia="仿宋_GB2312" w:cs="仿宋_GB2312"/>
          <w:kern w:val="1"/>
          <w:sz w:val="32"/>
          <w:szCs w:val="32"/>
          <w:u w:val="single"/>
        </w:rPr>
        <w:t xml:space="preserve">张秋文   </w:t>
      </w:r>
      <w:r>
        <w:rPr>
          <w:rFonts w:hint="eastAsia" w:ascii="仿宋_GB2312" w:hAnsi="仿宋_GB2312" w:eastAsia="仿宋_GB2312" w:cs="仿宋_GB2312"/>
          <w:kern w:val="1"/>
          <w:sz w:val="32"/>
          <w:szCs w:val="32"/>
          <w:u w:val="single"/>
          <w:lang w:val="en-US" w:eastAsia="zh-CN"/>
        </w:rPr>
        <w:t xml:space="preserve">                 </w:t>
      </w:r>
      <w:r>
        <w:rPr>
          <w:rFonts w:hint="eastAsia" w:ascii="仿宋_GB2312" w:hAnsi="仿宋_GB2312" w:eastAsia="仿宋_GB2312" w:cs="仿宋_GB2312"/>
          <w:kern w:val="1"/>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bookmarkStart w:id="0" w:name="_Hlk34120318"/>
      <w:r>
        <w:rPr>
          <w:rFonts w:hint="eastAsia" w:ascii="仿宋_GB2312" w:hAnsi="仿宋_GB2312" w:eastAsia="仿宋_GB2312" w:cs="仿宋_GB2312"/>
          <w:sz w:val="32"/>
          <w:szCs w:val="32"/>
          <w:u w:val="single"/>
        </w:rPr>
        <w:t xml:space="preserve">    </w:t>
      </w:r>
      <w:bookmarkEnd w:id="0"/>
      <w:r>
        <w:rPr>
          <w:rFonts w:hint="eastAsia" w:ascii="仿宋_GB2312" w:hAnsi="仿宋_GB2312" w:eastAsia="仿宋_GB2312" w:cs="仿宋_GB2312"/>
          <w:sz w:val="32"/>
          <w:szCs w:val="32"/>
          <w:u w:val="single"/>
        </w:rPr>
        <w:t xml:space="preserve">2020年11月26日，我局收到12315举报线索，该线索称惠州市易进工业有限公司在其公开的公司网站介绍中使用了“是国内领先的汽车零部件供应商”等用语，涉嫌发布虚假广告，举报人要求我局核查。2020年12月4日，我局西区所执法人员根据该举报线索，对位于惠州大亚湾经济技术开发区东风车城的惠州市易进工业有限公司进行执法检查。现场检查时，该公司正常经营，该公司管理本部部长魏剑章和资讯课员工张猛在场陪同检查。现场由资讯课员工张猛打开该公司的官方网站，网址为“www.yi-j.com”的网页，在该网页“公司概况”中的“公司简介”栏目含有“是国内领先的汽车零部件供应商”宣传内容，当事人涉嫌发布虚假广告。按程序审批后，我局于当天对当事人进行立案调查，并责令当事人立即停止发布虚假广告，现场未实施行政强制措施。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z w:val="32"/>
          <w:szCs w:val="32"/>
          <w:u w:val="single"/>
        </w:rPr>
      </w:pPr>
      <w:bookmarkStart w:id="1" w:name="_Hlk34120349"/>
      <w:r>
        <w:rPr>
          <w:rFonts w:hint="eastAsia" w:ascii="仿宋_GB2312" w:hAnsi="仿宋_GB2312" w:eastAsia="仿宋_GB2312" w:cs="仿宋_GB2312"/>
          <w:sz w:val="32"/>
          <w:szCs w:val="32"/>
          <w:u w:val="single"/>
        </w:rPr>
        <w:t xml:space="preserve">    </w:t>
      </w:r>
      <w:bookmarkEnd w:id="1"/>
      <w:r>
        <w:rPr>
          <w:rFonts w:hint="eastAsia" w:ascii="仿宋_GB2312" w:hAnsi="仿宋_GB2312" w:eastAsia="仿宋_GB2312" w:cs="仿宋_GB2312"/>
          <w:sz w:val="32"/>
          <w:szCs w:val="32"/>
          <w:u w:val="single"/>
        </w:rPr>
        <w:t xml:space="preserve">经调查确认，当事人于2004年6月获得了中国汽车工程学会、中国机械工业企业管理协会颁发的荣誉证书，证明其获得“2004年度中国汽车零部件企业综合竞争力百强”称号，当事人根据获颁的荣誉称号自行设计上述广告内容，审核后于2013年10月开始在其官方网站上发布。因上述广告内容为当事人自行制作并发布，无广告制作费用。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sz w:val="32"/>
          <w:szCs w:val="32"/>
          <w:u w:val="single"/>
        </w:rPr>
      </w:pPr>
      <w:r>
        <w:rPr>
          <w:rFonts w:hint="eastAsia" w:ascii="仿宋_GB2312" w:hAnsi="仿宋_GB2312" w:eastAsia="仿宋_GB2312" w:cs="仿宋_GB2312"/>
          <w:sz w:val="32"/>
          <w:szCs w:val="32"/>
          <w:u w:val="single"/>
        </w:rPr>
        <w:t xml:space="preserve">    当事人提供《工业产销总值及主要产品产量》，证明其在2020年1月1日至2020年12月31日的工业销售产值为198495千元，我局执法人员于2021年3月15日调取了位于广东省惠州市大亚湾经济技术开发区西区龙山二路28号的东风本田汽车零部件有限公司在2020年全年的工业销售产值，数据显示：东风本田汽车零部件有限公司在2020年1月1日至2020年12月31日的工业销售产值为3363751.44千元，该数值远远大于当事人的工业销售产值。【说明：本案所调取的工业销售产值，仅为其公司汽车零部件及配件制造业务、且排除出口交货值后的统计数值】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sz w:val="32"/>
          <w:szCs w:val="32"/>
          <w:u w:val="single"/>
        </w:rPr>
        <w:t xml:space="preserve">    当事人作为大亚湾经济技术开发区的汽车零部件生产企业，主营业务为设计、开发、制造、销售汽车零部件，而2020年全年度的工业销售产值却远小于同辖区内的其他汽车零部件生产企业的工业销售产值。当事人在其官方网站上使用“是国内领先的汽车零部件供应商”的广告语缺乏事实依据，产品的销售状况与实际情况不符，对购买行为有实质性影响，属于发布虚假广告。      </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ind w:firstLine="640" w:firstLineChars="200"/>
        <w:textAlignment w:val="auto"/>
        <w:rPr>
          <w:rFonts w:hint="default" w:ascii="仿宋_GB2312" w:hAnsi="仿宋_GB2312" w:eastAsia="仿宋_GB2312" w:cs="仿宋_GB2312"/>
          <w:bCs/>
          <w:color w:val="000000"/>
          <w:sz w:val="32"/>
          <w:szCs w:val="32"/>
          <w:u w:val="single"/>
          <w:lang w:val="en-US" w:eastAsia="zh-CN"/>
        </w:rPr>
      </w:pPr>
      <w:r>
        <w:rPr>
          <w:rFonts w:hint="eastAsia" w:ascii="仿宋_GB2312" w:hAnsi="仿宋_GB2312" w:eastAsia="仿宋_GB2312" w:cs="仿宋_GB2312"/>
          <w:color w:val="000000"/>
          <w:sz w:val="32"/>
          <w:szCs w:val="32"/>
        </w:rPr>
        <w:t>上述事实，主要有以下证据证明：</w:t>
      </w:r>
      <w:r>
        <w:rPr>
          <w:rFonts w:hint="eastAsia" w:ascii="仿宋_GB2312" w:hAnsi="仿宋_GB2312" w:eastAsia="仿宋_GB2312" w:cs="仿宋_GB2312"/>
          <w:sz w:val="32"/>
          <w:szCs w:val="32"/>
          <w:u w:val="single"/>
        </w:rPr>
        <w:t>《12315消费者举报登记表》（编号：1441325002020112617873491）、《电子数据确认函》（编号：DZGZ20201126000841）</w:t>
      </w:r>
      <w:r>
        <w:rPr>
          <w:rFonts w:hint="eastAsia" w:ascii="仿宋_GB2312" w:hAnsi="仿宋_GB2312" w:eastAsia="仿宋_GB2312" w:cs="仿宋_GB2312"/>
          <w:sz w:val="32"/>
          <w:szCs w:val="32"/>
          <w:u w:val="single"/>
          <w:lang w:eastAsia="zh-CN"/>
        </w:rPr>
        <w:t>、2020年12月4日现场笔录1份、2020年12月4日现场照片7张、惠州市易进工业有限公司《营业执照》复印件1份、法定代表人张秋文和受委托人张猛身份证复印件各1份、《授权委托书》1份、2020年12月7日询问笔录1份、《荣誉证书》复印件1份、整改后的官方网页截图</w:t>
      </w:r>
      <w:r>
        <w:rPr>
          <w:rFonts w:hint="eastAsia" w:ascii="仿宋_GB2312" w:hAnsi="仿宋_GB2312" w:eastAsia="仿宋_GB2312" w:cs="仿宋_GB2312"/>
          <w:sz w:val="32"/>
          <w:szCs w:val="32"/>
          <w:u w:val="single"/>
          <w:lang w:val="en-US" w:eastAsia="zh-CN"/>
        </w:rPr>
        <w:t>1份</w:t>
      </w:r>
      <w:r>
        <w:rPr>
          <w:rFonts w:hint="eastAsia" w:ascii="仿宋_GB2312" w:hAnsi="仿宋_GB2312" w:eastAsia="仿宋_GB2312" w:cs="仿宋_GB2312"/>
          <w:sz w:val="32"/>
          <w:szCs w:val="32"/>
          <w:u w:val="single"/>
          <w:lang w:eastAsia="zh-CN"/>
        </w:rPr>
        <w:t>、《关于涉嫌发布违法广告的说明》</w:t>
      </w:r>
      <w:r>
        <w:rPr>
          <w:rFonts w:hint="eastAsia" w:ascii="仿宋_GB2312" w:hAnsi="仿宋_GB2312" w:eastAsia="仿宋_GB2312" w:cs="仿宋_GB2312"/>
          <w:sz w:val="32"/>
          <w:szCs w:val="32"/>
          <w:u w:val="single"/>
          <w:lang w:val="en-US" w:eastAsia="zh-CN"/>
        </w:rPr>
        <w:t>1份、当事人提交的《工业产销总值及主要产品产量》1份、东风本田汽车零部件有限公司《工业产销总值及主要产品产量》1份</w:t>
      </w:r>
      <w:r>
        <w:rPr>
          <w:rFonts w:hint="eastAsia" w:ascii="仿宋_GB2312" w:hAnsi="仿宋_GB2312" w:eastAsia="仿宋_GB2312" w:cs="仿宋_GB2312"/>
          <w:bCs/>
          <w:sz w:val="32"/>
          <w:szCs w:val="32"/>
          <w:u w:val="single"/>
          <w:lang w:eastAsia="zh-CN"/>
        </w:rPr>
        <w:t>。</w:t>
      </w:r>
      <w:r>
        <w:rPr>
          <w:rFonts w:hint="eastAsia" w:ascii="仿宋_GB2312" w:hAnsi="仿宋_GB2312" w:eastAsia="仿宋_GB2312" w:cs="仿宋_GB2312"/>
          <w:bCs/>
          <w:sz w:val="32"/>
          <w:szCs w:val="32"/>
          <w:u w:val="single"/>
          <w:lang w:val="en-US" w:eastAsia="zh-CN"/>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color w:val="000000"/>
          <w:sz w:val="32"/>
          <w:szCs w:val="32"/>
          <w:u w:val="single"/>
        </w:rPr>
        <w:t xml:space="preserve">    本局于2020年</w:t>
      </w:r>
      <w:r>
        <w:rPr>
          <w:rFonts w:hint="eastAsia" w:ascii="仿宋_GB2312" w:hAnsi="仿宋_GB2312" w:eastAsia="仿宋_GB2312" w:cs="仿宋_GB2312"/>
          <w:bCs/>
          <w:color w:val="000000"/>
          <w:sz w:val="32"/>
          <w:szCs w:val="32"/>
          <w:u w:val="single"/>
          <w:lang w:val="en-US" w:eastAsia="zh-CN"/>
        </w:rPr>
        <w:t>4</w:t>
      </w:r>
      <w:r>
        <w:rPr>
          <w:rFonts w:hint="eastAsia" w:ascii="仿宋_GB2312" w:hAnsi="仿宋_GB2312" w:eastAsia="仿宋_GB2312" w:cs="仿宋_GB2312"/>
          <w:bCs/>
          <w:color w:val="000000"/>
          <w:sz w:val="32"/>
          <w:szCs w:val="32"/>
          <w:u w:val="single"/>
        </w:rPr>
        <w:t>月</w:t>
      </w:r>
      <w:r>
        <w:rPr>
          <w:rFonts w:hint="eastAsia" w:ascii="仿宋_GB2312" w:hAnsi="仿宋_GB2312" w:eastAsia="仿宋_GB2312" w:cs="仿宋_GB2312"/>
          <w:bCs/>
          <w:color w:val="000000"/>
          <w:sz w:val="32"/>
          <w:szCs w:val="32"/>
          <w:u w:val="single"/>
          <w:lang w:val="en-US" w:eastAsia="zh-CN"/>
        </w:rPr>
        <w:t>16</w:t>
      </w:r>
      <w:r>
        <w:rPr>
          <w:rFonts w:hint="eastAsia" w:ascii="仿宋_GB2312" w:hAnsi="仿宋_GB2312" w:eastAsia="仿宋_GB2312" w:cs="仿宋_GB2312"/>
          <w:bCs/>
          <w:color w:val="000000"/>
          <w:sz w:val="32"/>
          <w:szCs w:val="32"/>
          <w:u w:val="single"/>
        </w:rPr>
        <w:t>日向当事人直接送达《行政处罚告知书》（惠湾市监西告字〔202</w:t>
      </w:r>
      <w:r>
        <w:rPr>
          <w:rFonts w:hint="eastAsia" w:ascii="仿宋_GB2312" w:hAnsi="仿宋_GB2312" w:eastAsia="仿宋_GB2312" w:cs="仿宋_GB2312"/>
          <w:bCs/>
          <w:color w:val="000000"/>
          <w:sz w:val="32"/>
          <w:szCs w:val="32"/>
          <w:u w:val="single"/>
          <w:lang w:val="en-US" w:eastAsia="zh-CN"/>
        </w:rPr>
        <w:t>1</w:t>
      </w:r>
      <w:r>
        <w:rPr>
          <w:rFonts w:hint="eastAsia" w:ascii="仿宋_GB2312" w:hAnsi="仿宋_GB2312" w:eastAsia="仿宋_GB2312" w:cs="仿宋_GB2312"/>
          <w:bCs/>
          <w:color w:val="000000"/>
          <w:sz w:val="32"/>
          <w:szCs w:val="32"/>
          <w:u w:val="single"/>
        </w:rPr>
        <w:t>〕</w:t>
      </w:r>
      <w:r>
        <w:rPr>
          <w:rFonts w:hint="eastAsia" w:ascii="仿宋_GB2312" w:hAnsi="仿宋_GB2312" w:eastAsia="仿宋_GB2312" w:cs="仿宋_GB2312"/>
          <w:bCs/>
          <w:color w:val="000000"/>
          <w:sz w:val="32"/>
          <w:szCs w:val="32"/>
          <w:u w:val="single"/>
          <w:lang w:val="en-US" w:eastAsia="zh-CN"/>
        </w:rPr>
        <w:t>26</w:t>
      </w:r>
      <w:r>
        <w:rPr>
          <w:rFonts w:hint="eastAsia" w:ascii="仿宋_GB2312" w:hAnsi="仿宋_GB2312" w:eastAsia="仿宋_GB2312" w:cs="仿宋_GB2312"/>
          <w:bCs/>
          <w:color w:val="000000"/>
          <w:sz w:val="32"/>
          <w:szCs w:val="32"/>
          <w:u w:val="single"/>
        </w:rPr>
        <w:t xml:space="preserve">号），当事人在法定期限内未提出陈述、申辩意见。      </w:t>
      </w:r>
      <w:r>
        <w:rPr>
          <w:rFonts w:hint="eastAsia" w:ascii="仿宋_GB2312" w:hAnsi="仿宋_GB2312" w:eastAsia="仿宋_GB2312" w:cs="仿宋_GB2312"/>
          <w:bCs/>
          <w:color w:val="000000"/>
          <w:sz w:val="32"/>
          <w:szCs w:val="32"/>
          <w:u w:val="single"/>
          <w:lang w:val="en-US" w:eastAsia="zh-CN"/>
        </w:rPr>
        <w:t xml:space="preserve">  </w:t>
      </w:r>
      <w:r>
        <w:rPr>
          <w:rFonts w:hint="eastAsia" w:ascii="仿宋_GB2312" w:hAnsi="仿宋_GB2312" w:eastAsia="仿宋_GB2312" w:cs="仿宋_GB2312"/>
          <w:bCs/>
          <w:color w:val="000000"/>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sz w:val="32"/>
          <w:szCs w:val="32"/>
          <w:u w:val="single"/>
        </w:rPr>
        <w:t xml:space="preserve">    当事人发布虚假广告的行为，违反了《中华人民共和国广告法》第二十八条第二款第二项“广告有下列情形之一的，为虚假广告：（二）商品的性能、功能、产地、用途、质量、规格、成分、价格、生产者、有效期限、销售状况、曾获荣誉等信息，或者服务的内容、提供者、形式、质量、价格、销售状况、曾获荣誉等信息，以及与商品或者服务有关的允诺等信息与实际情况不符，对购买行为有实质性影响的；”的规定。</w:t>
      </w:r>
      <w:r>
        <w:rPr>
          <w:rFonts w:hint="eastAsia" w:ascii="仿宋_GB2312" w:hAnsi="仿宋_GB2312" w:eastAsia="仿宋_GB2312" w:cs="仿宋_GB2312"/>
          <w:sz w:val="32"/>
          <w:szCs w:val="32"/>
          <w:u w:val="single"/>
          <w:lang w:val="en-US" w:eastAsia="zh-CN"/>
        </w:rPr>
        <w:t xml:space="preserve">  </w:t>
      </w:r>
      <w:r>
        <w:rPr>
          <w:rFonts w:hint="eastAsia" w:ascii="仿宋_GB2312" w:hAnsi="仿宋_GB2312" w:eastAsia="仿宋_GB2312" w:cs="仿宋_GB2312"/>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bCs/>
          <w:sz w:val="32"/>
          <w:szCs w:val="32"/>
          <w:u w:val="single"/>
        </w:rPr>
        <w:t xml:space="preserve">    </w:t>
      </w:r>
      <w:r>
        <w:rPr>
          <w:rFonts w:hint="eastAsia" w:ascii="仿宋_GB2312" w:hAnsi="仿宋_GB2312" w:eastAsia="仿宋_GB2312" w:cs="仿宋_GB2312"/>
          <w:bCs/>
          <w:sz w:val="32"/>
          <w:szCs w:val="32"/>
          <w:u w:val="single"/>
          <w:lang w:eastAsia="zh-CN"/>
        </w:rPr>
        <w:t>鉴于</w:t>
      </w:r>
      <w:r>
        <w:rPr>
          <w:rFonts w:hint="eastAsia" w:ascii="仿宋_GB2312" w:hAnsi="仿宋_GB2312" w:eastAsia="仿宋_GB2312" w:cs="仿宋_GB2312"/>
          <w:bCs/>
          <w:sz w:val="32"/>
          <w:szCs w:val="32"/>
          <w:u w:val="single"/>
        </w:rPr>
        <w:t>当事人积极配合我局调查，如实交代违法事实，同时在我局现场检查后对违法广告内容进行整改，纠正违法行为，消除影响，并于2020年12月16日提交《关于涉嫌发布违法广告的说明》，从主观认识自身违法行为。</w:t>
      </w:r>
      <w:r>
        <w:rPr>
          <w:rFonts w:hint="eastAsia" w:ascii="仿宋_GB2312" w:hAnsi="仿宋_GB2312" w:eastAsia="仿宋_GB2312" w:cs="仿宋_GB2312"/>
          <w:bCs/>
          <w:sz w:val="32"/>
          <w:szCs w:val="32"/>
          <w:u w:val="single"/>
          <w:lang w:eastAsia="zh-CN"/>
        </w:rPr>
        <w:t>其行为符合</w:t>
      </w:r>
      <w:r>
        <w:rPr>
          <w:rFonts w:hint="eastAsia" w:ascii="仿宋_GB2312" w:hAnsi="仿宋_GB2312" w:eastAsia="仿宋_GB2312" w:cs="仿宋_GB2312"/>
          <w:bCs/>
          <w:sz w:val="32"/>
          <w:szCs w:val="32"/>
          <w:u w:val="single"/>
        </w:rPr>
        <w:t>《中华人民共和国行政处罚法》第二十七条第一款第四项“当事人有下列情形之一的，应当依法从轻或者减轻行政处罚：（四）其他依法从轻或者减轻行政处罚的”、《广东省市场监督管理局关于行政处罚自由裁量权的适用规则》第十七条第一项“有下列情形之一的，可以依法从轻或者减轻行政处罚：（一）积极配合市场监督管理部门调查，如实交代违法事实并主动提供证据材料的”的规定，</w:t>
      </w:r>
      <w:r>
        <w:rPr>
          <w:rFonts w:hint="eastAsia" w:ascii="仿宋_GB2312" w:hAnsi="仿宋_GB2312" w:eastAsia="仿宋_GB2312" w:cs="仿宋_GB2312"/>
          <w:bCs/>
          <w:sz w:val="32"/>
          <w:szCs w:val="32"/>
          <w:u w:val="single"/>
          <w:lang w:eastAsia="zh-CN"/>
        </w:rPr>
        <w:t>可以给予</w:t>
      </w:r>
      <w:r>
        <w:rPr>
          <w:rFonts w:hint="eastAsia" w:ascii="仿宋_GB2312" w:hAnsi="仿宋_GB2312" w:eastAsia="仿宋_GB2312" w:cs="仿宋_GB2312"/>
          <w:bCs/>
          <w:sz w:val="32"/>
          <w:szCs w:val="32"/>
          <w:u w:val="single"/>
        </w:rPr>
        <w:t>当事人减轻</w:t>
      </w:r>
      <w:r>
        <w:rPr>
          <w:rFonts w:hint="eastAsia" w:ascii="仿宋_GB2312" w:hAnsi="仿宋_GB2312" w:eastAsia="仿宋_GB2312" w:cs="仿宋_GB2312"/>
          <w:bCs/>
          <w:sz w:val="32"/>
          <w:szCs w:val="32"/>
          <w:u w:val="single"/>
          <w:lang w:eastAsia="zh-CN"/>
        </w:rPr>
        <w:t>行政</w:t>
      </w:r>
      <w:r>
        <w:rPr>
          <w:rFonts w:hint="eastAsia" w:ascii="仿宋_GB2312" w:hAnsi="仿宋_GB2312" w:eastAsia="仿宋_GB2312" w:cs="仿宋_GB2312"/>
          <w:bCs/>
          <w:sz w:val="32"/>
          <w:szCs w:val="32"/>
          <w:u w:val="single"/>
        </w:rPr>
        <w:t xml:space="preserve">处罚。             </w:t>
      </w:r>
      <w:r>
        <w:rPr>
          <w:rFonts w:hint="eastAsia" w:ascii="仿宋_GB2312" w:hAnsi="仿宋_GB2312" w:eastAsia="仿宋_GB2312" w:cs="仿宋_GB2312"/>
          <w:bCs/>
          <w:sz w:val="32"/>
          <w:szCs w:val="32"/>
          <w:u w:val="single"/>
          <w:lang w:val="en-US" w:eastAsia="zh-CN"/>
        </w:rPr>
        <w:t xml:space="preserve">           </w:t>
      </w:r>
      <w:r>
        <w:rPr>
          <w:rFonts w:hint="eastAsia" w:ascii="仿宋_GB2312" w:hAnsi="仿宋_GB2312"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bCs/>
          <w:color w:val="000000"/>
          <w:sz w:val="32"/>
          <w:szCs w:val="32"/>
          <w:u w:val="single"/>
        </w:rPr>
      </w:pPr>
      <w:r>
        <w:rPr>
          <w:rFonts w:hint="eastAsia" w:ascii="仿宋_GB2312" w:hAnsi="仿宋_GB2312" w:eastAsia="仿宋_GB2312" w:cs="仿宋_GB2312"/>
          <w:color w:val="000000"/>
          <w:sz w:val="32"/>
          <w:szCs w:val="32"/>
          <w:u w:val="single"/>
        </w:rPr>
        <w:t xml:space="preserve">    </w:t>
      </w:r>
      <w:r>
        <w:rPr>
          <w:rFonts w:hint="eastAsia" w:ascii="仿宋_GB2312" w:hAnsi="仿宋_GB2312" w:eastAsia="仿宋_GB2312" w:cs="仿宋_GB2312"/>
          <w:color w:val="000000"/>
          <w:sz w:val="32"/>
          <w:szCs w:val="32"/>
          <w:u w:val="single"/>
          <w:lang w:eastAsia="zh-CN"/>
        </w:rPr>
        <w:t>本局</w:t>
      </w:r>
      <w:r>
        <w:rPr>
          <w:rFonts w:hint="eastAsia" w:ascii="仿宋_GB2312" w:hAnsi="仿宋_GB2312" w:eastAsia="仿宋_GB2312" w:cs="仿宋_GB2312"/>
          <w:bCs/>
          <w:sz w:val="32"/>
          <w:szCs w:val="32"/>
          <w:u w:val="single"/>
        </w:rPr>
        <w:t>依据《中华人民共和国广告法》第五十五条第一款“违反本法规定，发布虚假广告的，由工商行政管理部门责令停止发布广告，责令广告主在相应范围内消除影响，处广告费用三倍以上五倍以下的罚款，广告费用无法计算或者明显偏低的，处二十万元以上一百万元以下的罚款；两年内有三次以上违法行为或者有其他严重情节的，处广告费用五倍以上十倍以下的罚款，广告费用无法计算或者明显偏低的，处一百万元以上二百万元以下的罚款，可以吊销营业执照，并由广告审查机关撤销广告审查批准文件、一年内不受理其广告审查申请。”、《中华人民共和国行政处罚法》第二十七条第一款第四项“当事人有下列情形之一的，应当依法从轻或者减轻行政处罚：（四）其他依法从轻或者减轻行政处罚的。”以及《广东省市场监督管理局关于行政处罚自由裁量权的适用规则》第十七条第一项“有下列情形之一的，可以依法从轻或者减轻行政处罚：（一）积极配合市场监督管理部门调查，如实交代违法事实并主动提供证据材料的”的规定，责令当事人立即停止发布虚假广告，消除影响，并</w:t>
      </w:r>
      <w:r>
        <w:rPr>
          <w:rFonts w:hint="eastAsia" w:ascii="仿宋_GB2312" w:hAnsi="仿宋_GB2312" w:eastAsia="仿宋_GB2312" w:cs="仿宋_GB2312"/>
          <w:bCs/>
          <w:sz w:val="32"/>
          <w:szCs w:val="32"/>
          <w:u w:val="single"/>
          <w:lang w:eastAsia="zh-CN"/>
        </w:rPr>
        <w:t>决定</w:t>
      </w:r>
      <w:r>
        <w:rPr>
          <w:rFonts w:hint="eastAsia" w:ascii="仿宋_GB2312" w:hAnsi="仿宋_GB2312" w:eastAsia="仿宋_GB2312" w:cs="仿宋_GB2312"/>
          <w:bCs/>
          <w:sz w:val="32"/>
          <w:szCs w:val="32"/>
          <w:u w:val="single"/>
        </w:rPr>
        <w:t xml:space="preserve">给予当事人减轻行政处罚，处以罚款人民币贰万元整（¥20000.00）。    </w:t>
      </w:r>
      <w:r>
        <w:rPr>
          <w:rFonts w:hint="eastAsia" w:ascii="仿宋_GB2312" w:hAnsi="仿宋_GB2312" w:eastAsia="仿宋_GB2312" w:cs="仿宋_GB2312"/>
          <w:bCs/>
          <w:sz w:val="32"/>
          <w:szCs w:val="32"/>
          <w:u w:val="single"/>
          <w:lang w:val="en-US" w:eastAsia="zh-CN"/>
        </w:rPr>
        <w:t xml:space="preserve">      </w:t>
      </w:r>
      <w:r>
        <w:rPr>
          <w:rFonts w:hint="eastAsia" w:ascii="仿宋_GB2312" w:hAnsi="仿宋_GB2312" w:eastAsia="仿宋_GB2312" w:cs="仿宋_GB2312"/>
          <w:bCs/>
          <w:sz w:val="32"/>
          <w:szCs w:val="32"/>
          <w:u w:val="single"/>
        </w:rPr>
        <w:t xml:space="preserve">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u w:val="single"/>
        </w:rPr>
      </w:pPr>
      <w:r>
        <w:rPr>
          <w:rFonts w:hint="eastAsia" w:ascii="仿宋_GB2312" w:hAnsi="仿宋_GB2312" w:eastAsia="仿宋_GB2312" w:cs="仿宋_GB2312"/>
          <w:color w:val="000000"/>
          <w:sz w:val="32"/>
          <w:szCs w:val="32"/>
          <w:u w:val="single"/>
        </w:rPr>
        <w:t xml:space="preserve">    当事人应自接到本处罚决定书之日起15日到惠州大亚湾建设银行、工商银行、农业银行的其中一间银行缴纳罚款，或者使用本局的POS机刷卡缴纳罚款。逾期不缴纳罚款的，根据《中华人民共和国行政处罚法》第五十一条第一项的规定，每日按罚款数额的3%加处罚款，并依法申请人民法院强制执行。         </w:t>
      </w: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u w:val="single"/>
        </w:rPr>
        <w:t xml:space="preserve">    如不服从本处罚决定，可在接到本处罚决定书之日起60日内向惠州市市场监督管理局或大亚湾区管委会申请行政复议，也可于6个月内向博罗县人民法院提起行政诉讼。           </w:t>
      </w:r>
    </w:p>
    <w:p>
      <w:pPr>
        <w:keepNext w:val="0"/>
        <w:keepLines w:val="0"/>
        <w:pageBreakBefore w:val="0"/>
        <w:widowControl w:val="0"/>
        <w:kinsoku/>
        <w:wordWrap/>
        <w:overflowPunct/>
        <w:topLinePunct w:val="0"/>
        <w:autoSpaceDE/>
        <w:autoSpaceDN/>
        <w:bidi w:val="0"/>
        <w:adjustRightInd/>
        <w:snapToGrid w:val="0"/>
        <w:spacing w:line="4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40" w:lineRule="exact"/>
        <w:jc w:val="both"/>
        <w:textAlignment w:val="auto"/>
        <w:rPr>
          <w:rFonts w:hint="eastAsia" w:ascii="仿宋_GB2312" w:hAnsi="仿宋_GB2312" w:eastAsia="仿宋_GB2312" w:cs="仿宋_GB2312"/>
          <w:color w:val="000000"/>
          <w:sz w:val="32"/>
          <w:szCs w:val="32"/>
          <w:lang w:val="en-US" w:eastAsia="zh-CN"/>
        </w:rPr>
      </w:pPr>
    </w:p>
    <w:p>
      <w:pPr>
        <w:keepNext w:val="0"/>
        <w:keepLines w:val="0"/>
        <w:pageBreakBefore w:val="0"/>
        <w:widowControl w:val="0"/>
        <w:kinsoku/>
        <w:wordWrap/>
        <w:overflowPunct/>
        <w:topLinePunct w:val="0"/>
        <w:autoSpaceDE/>
        <w:autoSpaceDN/>
        <w:bidi w:val="0"/>
        <w:adjustRightInd/>
        <w:snapToGrid w:val="0"/>
        <w:spacing w:line="440" w:lineRule="exact"/>
        <w:ind w:firstLine="601"/>
        <w:jc w:val="righ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惠州大亚湾经济技术开发区市场监督管理局</w:t>
      </w:r>
    </w:p>
    <w:p>
      <w:pPr>
        <w:keepNext w:val="0"/>
        <w:keepLines w:val="0"/>
        <w:pageBreakBefore w:val="0"/>
        <w:widowControl w:val="0"/>
        <w:kinsoku/>
        <w:wordWrap/>
        <w:overflowPunct/>
        <w:topLinePunct w:val="0"/>
        <w:autoSpaceDE/>
        <w:autoSpaceDN/>
        <w:bidi w:val="0"/>
        <w:adjustRightInd/>
        <w:snapToGrid w:val="0"/>
        <w:spacing w:line="440" w:lineRule="exact"/>
        <w:ind w:firstLine="5120" w:firstLineChars="16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（印 章）</w:t>
      </w:r>
    </w:p>
    <w:p>
      <w:pPr>
        <w:keepNext w:val="0"/>
        <w:keepLines w:val="0"/>
        <w:pageBreakBefore w:val="0"/>
        <w:widowControl w:val="0"/>
        <w:kinsoku/>
        <w:wordWrap/>
        <w:overflowPunct/>
        <w:topLinePunct w:val="0"/>
        <w:autoSpaceDE/>
        <w:autoSpaceDN/>
        <w:bidi w:val="0"/>
        <w:adjustRightInd/>
        <w:snapToGrid w:val="0"/>
        <w:spacing w:line="440" w:lineRule="exact"/>
        <w:ind w:firstLine="4640" w:firstLineChars="145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202</w:t>
      </w:r>
      <w:r>
        <w:rPr>
          <w:rFonts w:hint="eastAsia" w:ascii="仿宋_GB2312" w:hAnsi="仿宋_GB2312" w:eastAsia="仿宋_GB2312" w:cs="仿宋_GB2312"/>
          <w:color w:val="000000"/>
          <w:sz w:val="32"/>
          <w:szCs w:val="32"/>
          <w:lang w:val="en-US" w:eastAsia="zh-CN"/>
        </w:rPr>
        <w:t>1</w:t>
      </w:r>
      <w:r>
        <w:rPr>
          <w:rFonts w:hint="eastAsia" w:ascii="仿宋_GB2312" w:hAnsi="仿宋_GB2312" w:eastAsia="仿宋_GB2312" w:cs="仿宋_GB2312"/>
          <w:color w:val="000000"/>
          <w:sz w:val="32"/>
          <w:szCs w:val="32"/>
        </w:rPr>
        <w:t>年</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月</w:t>
      </w:r>
      <w:r>
        <w:rPr>
          <w:rFonts w:hint="eastAsia" w:ascii="仿宋_GB2312" w:hAnsi="仿宋_GB2312" w:eastAsia="仿宋_GB2312" w:cs="仿宋_GB2312"/>
          <w:color w:val="000000"/>
          <w:sz w:val="32"/>
          <w:szCs w:val="32"/>
          <w:lang w:val="en-US" w:eastAsia="zh-CN"/>
        </w:rPr>
        <w:t>22</w:t>
      </w:r>
      <w:r>
        <w:rPr>
          <w:rFonts w:hint="eastAsia" w:ascii="仿宋_GB2312" w:hAnsi="仿宋_GB2312" w:eastAsia="仿宋_GB2312" w:cs="仿宋_GB2312"/>
          <w:color w:val="000000"/>
          <w:sz w:val="32"/>
          <w:szCs w:val="32"/>
        </w:rPr>
        <w:t>日</w:t>
      </w:r>
    </w:p>
    <w:p>
      <w:pPr>
        <w:keepNext w:val="0"/>
        <w:keepLines w:val="0"/>
        <w:pageBreakBefore w:val="0"/>
        <w:widowControl w:val="0"/>
        <w:kinsoku/>
        <w:wordWrap/>
        <w:overflowPunct/>
        <w:topLinePunct w:val="0"/>
        <w:autoSpaceDE/>
        <w:autoSpaceDN/>
        <w:bidi w:val="0"/>
        <w:adjustRightInd/>
        <w:snapToGrid w:val="0"/>
        <w:spacing w:line="440" w:lineRule="exact"/>
        <w:ind w:firstLine="4640" w:firstLineChars="1450"/>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textAlignment w:val="auto"/>
        <w:rPr>
          <w:rFonts w:hint="eastAsia" w:ascii="仿宋_GB2312" w:hAnsi="仿宋_GB2312" w:eastAsia="仿宋_GB2312" w:cs="仿宋_GB2312"/>
          <w:color w:val="000000"/>
          <w:sz w:val="32"/>
          <w:szCs w:val="32"/>
        </w:rPr>
      </w:pP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ascii="Times New Roman" w:hAnsi="Times New Roman" w:eastAsia="仿宋_GB2312" w:cs="仿宋"/>
          <w:bCs/>
          <w:color w:val="000000"/>
          <w:sz w:val="32"/>
          <w:szCs w:val="32"/>
        </w:rPr>
      </w:pPr>
      <w:r>
        <w:rPr>
          <w:rFonts w:hint="eastAsia" w:ascii="Times New Roman" w:hAnsi="Times New Roman" w:eastAsia="仿宋_GB2312"/>
          <w:sz w:val="32"/>
        </w:rPr>
        <mc:AlternateContent>
          <mc:Choice Requires="wps">
            <w:drawing>
              <wp:anchor distT="0" distB="0" distL="114300" distR="114300" simplePos="0" relativeHeight="251662336" behindDoc="0" locked="0" layoutInCell="1" allowOverlap="1">
                <wp:simplePos x="0" y="0"/>
                <wp:positionH relativeFrom="margin">
                  <wp:posOffset>0</wp:posOffset>
                </wp:positionH>
                <wp:positionV relativeFrom="paragraph">
                  <wp:posOffset>295910</wp:posOffset>
                </wp:positionV>
                <wp:extent cx="5550535" cy="635"/>
                <wp:effectExtent l="0" t="0" r="31115" b="37465"/>
                <wp:wrapNone/>
                <wp:docPr id="11" name="直接连接符 11"/>
                <wp:cNvGraphicFramePr/>
                <a:graphic xmlns:a="http://schemas.openxmlformats.org/drawingml/2006/main">
                  <a:graphicData uri="http://schemas.microsoft.com/office/word/2010/wordprocessingShape">
                    <wps:wsp>
                      <wps:cNvCnPr/>
                      <wps:spPr>
                        <a:xfrm>
                          <a:off x="0" y="0"/>
                          <a:ext cx="5550535" cy="635"/>
                        </a:xfrm>
                        <a:prstGeom prst="line">
                          <a:avLst/>
                        </a:prstGeom>
                        <a:ln w="15875" cap="flat"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23.3pt;height:0.05pt;width:437.05pt;mso-position-horizontal-relative:margin;z-index:251662336;mso-width-relative:page;mso-height-relative:page;" filled="f" stroked="t" coordsize="21600,21600" o:gfxdata="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">
                <v:fill on="f" focussize="0,0"/>
                <v:stroke weight="1.25pt" color="#000000" joinstyle="round"/>
                <v:imagedata o:title=""/>
                <o:lock v:ext="edit" aspectratio="f"/>
              </v:line>
            </w:pict>
          </mc:Fallback>
        </mc:AlternateContent>
      </w:r>
      <w:r>
        <w:rPr>
          <w:rFonts w:hint="eastAsia" w:ascii="黑体" w:hAnsi="黑体" w:eastAsia="黑体" w:cs="黑体"/>
          <w:color w:val="000000"/>
          <w:sz w:val="30"/>
          <w:szCs w:val="30"/>
        </w:rPr>
        <w:t>（市场监督管理部门将依法向社会公示本行政处罚决定信息）</w:t>
      </w:r>
    </w:p>
    <w:p>
      <w:pPr>
        <w:keepNext w:val="0"/>
        <w:keepLines w:val="0"/>
        <w:pageBreakBefore w:val="0"/>
        <w:widowControl w:val="0"/>
        <w:kinsoku/>
        <w:wordWrap/>
        <w:overflowPunct/>
        <w:topLinePunct w:val="0"/>
        <w:autoSpaceDE/>
        <w:autoSpaceDN/>
        <w:bidi w:val="0"/>
        <w:adjustRightInd/>
        <w:snapToGrid w:val="0"/>
        <w:spacing w:line="440" w:lineRule="exact"/>
        <w:jc w:val="center"/>
        <w:textAlignment w:val="auto"/>
        <w:rPr>
          <w:rFonts w:ascii="Times New Roman" w:hAnsi="Times New Roman" w:eastAsia="仿宋_GB2312" w:cs="仿宋"/>
          <w:color w:val="000000"/>
          <w:sz w:val="32"/>
          <w:szCs w:val="32"/>
        </w:rPr>
      </w:pPr>
      <w:r>
        <w:rPr>
          <w:rFonts w:hint="eastAsia" w:ascii="Times New Roman" w:hAnsi="Times New Roman" w:eastAsia="仿宋_GB2312" w:cs="仿宋"/>
          <w:bCs/>
          <w:color w:val="000000"/>
          <w:sz w:val="32"/>
          <w:szCs w:val="32"/>
        </w:rPr>
        <mc:AlternateContent>
          <mc:Choice Requires="wps">
            <w:drawing>
              <wp:anchor distT="0" distB="0" distL="114300" distR="114300" simplePos="0" relativeHeight="251661312" behindDoc="0" locked="0" layoutInCell="1" allowOverlap="1">
                <wp:simplePos x="0" y="0"/>
                <wp:positionH relativeFrom="column">
                  <wp:posOffset>0</wp:posOffset>
                </wp:positionH>
                <wp:positionV relativeFrom="paragraph">
                  <wp:posOffset>20807045</wp:posOffset>
                </wp:positionV>
                <wp:extent cx="5762625" cy="1270"/>
                <wp:effectExtent l="0" t="0" r="0" b="0"/>
                <wp:wrapNone/>
                <wp:docPr id="12" name="直接连接符 12"/>
                <wp:cNvGraphicFramePr/>
                <a:graphic xmlns:a="http://schemas.openxmlformats.org/drawingml/2006/main">
                  <a:graphicData uri="http://schemas.microsoft.com/office/word/2010/wordprocessingShape">
                    <wps:wsp>
                      <wps:cNvCnPr/>
                      <wps:spPr>
                        <a:xfrm>
                          <a:off x="0" y="0"/>
                          <a:ext cx="5762625" cy="1270"/>
                        </a:xfrm>
                        <a:prstGeom prst="line">
                          <a:avLst/>
                        </a:prstGeom>
                        <a:ln w="9360" cap="sq" cmpd="sng">
                          <a:solidFill>
                            <a:srgbClr val="000000"/>
                          </a:solidFill>
                          <a:prstDash val="solid"/>
                          <a:headEnd type="none" w="med" len="med"/>
                          <a:tailEnd type="none" w="med" len="med"/>
                        </a:ln>
                      </wps:spPr>
                      <wps:bodyPr/>
                    </wps:wsp>
                  </a:graphicData>
                </a:graphic>
              </wp:anchor>
            </w:drawing>
          </mc:Choice>
          <mc:Fallback>
            <w:pict>
              <v:line id="_x0000_s1026" o:spid="_x0000_s1026" o:spt="20" style="position:absolute;left:0pt;margin-left:0pt;margin-top:1638.35pt;height:0.1pt;width:453.75pt;z-index:251661312;mso-width-relative:page;mso-height-relative:page;" filled="f" stroked="t" coordsize="21600,21600" o:gfxdata="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AAAAAZHJzL1BLAQIUABQAAAAIAIdO4kCL7/OR1wAAAAoBAAAPAAAAAAAAAAEA&#10;IAAAACIAAABkcnMvZG93bnJldi54bWxQSwECFAAUAAAACACHTuJAJXomzNcBAACNAwAADgAAAAAA&#10;AAABACAAAAAmAQAAZHJzL2Uyb0RvYy54bWxQSwUGAAAAAAYABgBZAQAAbwUAAAAA&#10;">
                <v:fill on="f" focussize="0,0"/>
                <v:stroke weight="0.737007874015748pt" color="#000000" joinstyle="round" endcap="square"/>
                <v:imagedata o:title=""/>
                <o:lock v:ext="edit" aspectratio="f"/>
              </v:line>
            </w:pict>
          </mc:Fallback>
        </mc:AlternateContent>
      </w:r>
      <w:r>
        <w:rPr>
          <w:rFonts w:hint="eastAsia" w:ascii="Times New Roman" w:hAnsi="Times New Roman" w:eastAsia="仿宋_GB2312" w:cs="仿宋"/>
          <w:color w:val="000000"/>
          <w:sz w:val="32"/>
          <w:szCs w:val="32"/>
        </w:rPr>
        <w:t>本文书一式</w:t>
      </w:r>
      <w:r>
        <w:rPr>
          <w:rFonts w:hint="eastAsia" w:ascii="Times New Roman" w:hAnsi="Times New Roman" w:eastAsia="仿宋_GB2312" w:cs="仿宋"/>
          <w:color w:val="000000"/>
          <w:sz w:val="32"/>
          <w:szCs w:val="32"/>
          <w:u w:val="single"/>
        </w:rPr>
        <w:t>二</w:t>
      </w:r>
      <w:r>
        <w:rPr>
          <w:rFonts w:hint="eastAsia" w:ascii="Times New Roman" w:hAnsi="Times New Roman" w:eastAsia="仿宋_GB2312" w:cs="仿宋"/>
          <w:color w:val="000000"/>
          <w:sz w:val="32"/>
          <w:szCs w:val="32"/>
        </w:rPr>
        <w:t>份，</w:t>
      </w:r>
      <w:r>
        <w:rPr>
          <w:rFonts w:hint="eastAsia" w:ascii="Times New Roman" w:hAnsi="Times New Roman" w:eastAsia="仿宋_GB2312" w:cs="仿宋"/>
          <w:color w:val="000000"/>
          <w:sz w:val="32"/>
          <w:szCs w:val="32"/>
          <w:u w:val="single"/>
        </w:rPr>
        <w:t>一</w:t>
      </w:r>
      <w:r>
        <w:rPr>
          <w:rFonts w:hint="eastAsia" w:ascii="Times New Roman" w:hAnsi="Times New Roman" w:eastAsia="仿宋_GB2312" w:cs="仿宋"/>
          <w:color w:val="000000"/>
          <w:sz w:val="32"/>
          <w:szCs w:val="32"/>
        </w:rPr>
        <w:t>份送达，一份归档。</w:t>
      </w:r>
    </w:p>
    <w:bookmarkEnd w:id="2"/>
    <w:sectPr>
      <w:footerReference r:id="rId3" w:type="default"/>
      <w:pgSz w:w="11906" w:h="16838"/>
      <w:pgMar w:top="1440" w:right="1559" w:bottom="1440" w:left="155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rPr>
        <w:sz w:val="28"/>
        <w:szCs w:val="28"/>
      </w:rPr>
    </w:pPr>
    <w:r>
      <w:rPr>
        <w:rFonts w:hint="eastAsia"/>
        <w:sz w:val="28"/>
        <w:szCs w:val="28"/>
      </w:rPr>
      <w:t xml:space="preserve">第 </w:t>
    </w:r>
    <w:r>
      <w:rPr>
        <w:sz w:val="28"/>
        <w:szCs w:val="28"/>
      </w:rPr>
      <w:fldChar w:fldCharType="begin"/>
    </w:r>
    <w:r>
      <w:rPr>
        <w:sz w:val="28"/>
        <w:szCs w:val="28"/>
      </w:rPr>
      <w:instrText xml:space="preserve"> </w:instrText>
    </w:r>
    <w:r>
      <w:rPr>
        <w:rFonts w:hint="eastAsia"/>
        <w:sz w:val="28"/>
        <w:szCs w:val="28"/>
      </w:rPr>
      <w:instrText xml:space="preserve">page</w:instrText>
    </w:r>
    <w:r>
      <w:rPr>
        <w:sz w:val="28"/>
        <w:szCs w:val="28"/>
      </w:rPr>
      <w:instrText xml:space="preserve"> </w:instrText>
    </w:r>
    <w:r>
      <w:rPr>
        <w:sz w:val="28"/>
        <w:szCs w:val="28"/>
      </w:rPr>
      <w:fldChar w:fldCharType="separate"/>
    </w:r>
    <w:r>
      <w:rPr>
        <w:sz w:val="28"/>
        <w:szCs w:val="28"/>
      </w:rPr>
      <w:t>1</w:t>
    </w:r>
    <w:r>
      <w:rPr>
        <w:sz w:val="28"/>
        <w:szCs w:val="28"/>
      </w:rPr>
      <w:fldChar w:fldCharType="end"/>
    </w:r>
    <w:r>
      <w:rPr>
        <w:sz w:val="28"/>
        <w:szCs w:val="28"/>
      </w:rPr>
      <w:t xml:space="preserve"> </w:t>
    </w:r>
    <w:r>
      <w:rPr>
        <w:rFonts w:hint="eastAsia"/>
        <w:sz w:val="28"/>
        <w:szCs w:val="28"/>
      </w:rPr>
      <w:t xml:space="preserve">页 共 </w:t>
    </w:r>
    <w:r>
      <w:rPr>
        <w:sz w:val="28"/>
        <w:szCs w:val="28"/>
      </w:rPr>
      <w:fldChar w:fldCharType="begin"/>
    </w:r>
    <w:r>
      <w:rPr>
        <w:sz w:val="28"/>
        <w:szCs w:val="28"/>
      </w:rPr>
      <w:instrText xml:space="preserve"> </w:instrText>
    </w:r>
    <w:r>
      <w:rPr>
        <w:rFonts w:hint="eastAsia"/>
        <w:sz w:val="28"/>
        <w:szCs w:val="28"/>
      </w:rPr>
      <w:instrText xml:space="preserve">Numpages</w:instrText>
    </w:r>
    <w:r>
      <w:rPr>
        <w:sz w:val="28"/>
        <w:szCs w:val="28"/>
      </w:rPr>
      <w:instrText xml:space="preserve"> </w:instrText>
    </w:r>
    <w:r>
      <w:rPr>
        <w:sz w:val="28"/>
        <w:szCs w:val="28"/>
      </w:rPr>
      <w:fldChar w:fldCharType="separate"/>
    </w:r>
    <w:r>
      <w:rPr>
        <w:sz w:val="28"/>
        <w:szCs w:val="28"/>
      </w:rPr>
      <w:t>4</w:t>
    </w:r>
    <w:r>
      <w:rPr>
        <w:sz w:val="28"/>
        <w:szCs w:val="28"/>
      </w:rPr>
      <w:fldChar w:fldCharType="end"/>
    </w:r>
    <w:r>
      <w:rPr>
        <w:sz w:val="28"/>
        <w:szCs w:val="28"/>
      </w:rPr>
      <w:t xml:space="preserve"> </w:t>
    </w:r>
    <w:r>
      <w:rPr>
        <w:rFonts w:hint="eastAsia"/>
        <w:sz w:val="28"/>
        <w:szCs w:val="28"/>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607C"/>
    <w:rsid w:val="000C2BD0"/>
    <w:rsid w:val="000D60EF"/>
    <w:rsid w:val="0011607C"/>
    <w:rsid w:val="002D15B9"/>
    <w:rsid w:val="00317879"/>
    <w:rsid w:val="00344D84"/>
    <w:rsid w:val="003C69E4"/>
    <w:rsid w:val="004755DE"/>
    <w:rsid w:val="004837BF"/>
    <w:rsid w:val="004A4FC9"/>
    <w:rsid w:val="004E3B71"/>
    <w:rsid w:val="00554FB5"/>
    <w:rsid w:val="0056056B"/>
    <w:rsid w:val="005E0D0A"/>
    <w:rsid w:val="00633022"/>
    <w:rsid w:val="00654BA4"/>
    <w:rsid w:val="00677D9C"/>
    <w:rsid w:val="006B2341"/>
    <w:rsid w:val="006C3DC0"/>
    <w:rsid w:val="0074762C"/>
    <w:rsid w:val="00782FCD"/>
    <w:rsid w:val="007A3A06"/>
    <w:rsid w:val="00802393"/>
    <w:rsid w:val="00855250"/>
    <w:rsid w:val="00895E8D"/>
    <w:rsid w:val="00954D45"/>
    <w:rsid w:val="009B71CA"/>
    <w:rsid w:val="009D1D1C"/>
    <w:rsid w:val="00A22719"/>
    <w:rsid w:val="00A57C66"/>
    <w:rsid w:val="00A93542"/>
    <w:rsid w:val="00AA2081"/>
    <w:rsid w:val="00AC36E9"/>
    <w:rsid w:val="00B46D2F"/>
    <w:rsid w:val="00BF3C6A"/>
    <w:rsid w:val="00BF729D"/>
    <w:rsid w:val="00C22C49"/>
    <w:rsid w:val="00C32049"/>
    <w:rsid w:val="00CF6A96"/>
    <w:rsid w:val="00D051B1"/>
    <w:rsid w:val="00D82D02"/>
    <w:rsid w:val="00DC14AD"/>
    <w:rsid w:val="00DF5754"/>
    <w:rsid w:val="00E106EB"/>
    <w:rsid w:val="00E4076F"/>
    <w:rsid w:val="00E844EC"/>
    <w:rsid w:val="00EC6A55"/>
    <w:rsid w:val="00F34AEA"/>
    <w:rsid w:val="00F5552B"/>
    <w:rsid w:val="00F80A2D"/>
    <w:rsid w:val="06D666F2"/>
    <w:rsid w:val="0C2C3E38"/>
    <w:rsid w:val="0D293ED6"/>
    <w:rsid w:val="143930C0"/>
    <w:rsid w:val="18D81B19"/>
    <w:rsid w:val="1EC01EDE"/>
    <w:rsid w:val="3D7F11C3"/>
    <w:rsid w:val="57775A18"/>
    <w:rsid w:val="5B526F5B"/>
    <w:rsid w:val="68BE3C9C"/>
    <w:rsid w:val="6C047C44"/>
    <w:rsid w:val="6C381B8B"/>
    <w:rsid w:val="709D4EA2"/>
    <w:rsid w:val="77751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0"/>
    <w:semiHidden/>
    <w:unhideWhenUsed/>
    <w:qFormat/>
    <w:uiPriority w:val="99"/>
    <w:pPr>
      <w:ind w:left="100" w:leftChars="2500"/>
    </w:pPr>
  </w:style>
  <w:style w:type="paragraph" w:styleId="3">
    <w:name w:val="Balloon Text"/>
    <w:basedOn w:val="1"/>
    <w:link w:val="11"/>
    <w:semiHidden/>
    <w:unhideWhenUsed/>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8">
    <w:name w:val="页眉 字符"/>
    <w:basedOn w:val="7"/>
    <w:link w:val="5"/>
    <w:qFormat/>
    <w:uiPriority w:val="99"/>
    <w:rPr>
      <w:sz w:val="18"/>
      <w:szCs w:val="18"/>
    </w:rPr>
  </w:style>
  <w:style w:type="character" w:customStyle="1" w:styleId="9">
    <w:name w:val="页脚 字符"/>
    <w:basedOn w:val="7"/>
    <w:link w:val="4"/>
    <w:qFormat/>
    <w:uiPriority w:val="99"/>
    <w:rPr>
      <w:sz w:val="18"/>
      <w:szCs w:val="18"/>
    </w:rPr>
  </w:style>
  <w:style w:type="character" w:customStyle="1" w:styleId="10">
    <w:name w:val="日期 字符"/>
    <w:basedOn w:val="7"/>
    <w:link w:val="2"/>
    <w:semiHidden/>
    <w:qFormat/>
    <w:uiPriority w:val="99"/>
    <w:rPr>
      <w:rFonts w:ascii="Calibri" w:hAnsi="Calibri" w:eastAsia="宋体" w:cs="Times New Roman"/>
      <w:szCs w:val="24"/>
    </w:rPr>
  </w:style>
  <w:style w:type="character" w:customStyle="1" w:styleId="11">
    <w:name w:val="批注框文本 字符"/>
    <w:basedOn w:val="7"/>
    <w:link w:val="3"/>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Lenovo</Company>
  <Pages>4</Pages>
  <Words>394</Words>
  <Characters>2251</Characters>
  <Lines>18</Lines>
  <Paragraphs>5</Paragraphs>
  <TotalTime>115</TotalTime>
  <ScaleCrop>false</ScaleCrop>
  <LinksUpToDate>false</LinksUpToDate>
  <CharactersWithSpaces>2640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2019-07-24T10:42:00Z</dcterms:created>
  <dc:creator>Windows 用户</dc:creator>
  <cp:lastModifiedBy>Administrator</cp:lastModifiedBy>
  <cp:lastPrinted>2020-07-24T01:47:00Z</cp:lastPrinted>
  <dcterms:modified xsi:type="dcterms:W3CDTF">2021-06-22T09:19:15Z</dcterms:modified>
  <dc:title>惠州大亚湾经济技术开发区市场监督管理局</dc:title>
  <cp:revision>27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