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黑体" w:hAnsi="黑体" w:eastAsia="黑体" w:cs="黑体"/>
          <w:bCs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shd w:val="clear" w:color="auto" w:fill="FFFFFF"/>
          <w:lang w:bidi="ar"/>
        </w:rPr>
        <w:t>附件1-1</w:t>
      </w:r>
    </w:p>
    <w:p>
      <w:pPr>
        <w:widowControl/>
        <w:spacing w:line="560" w:lineRule="exact"/>
        <w:ind w:firstLine="1320" w:firstLineChars="30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  <w:shd w:val="clear" w:color="auto" w:fill="FFFFFF"/>
          <w:lang w:bidi="ar"/>
        </w:rPr>
        <w:t>大亚湾区食品安全法律责任“十不放过”隐患排查治理情况表</w:t>
      </w:r>
    </w:p>
    <w:p>
      <w:pPr>
        <w:widowControl/>
        <w:spacing w:line="560" w:lineRule="exact"/>
        <w:ind w:left="-359" w:leftChars="-171" w:firstLine="420" w:firstLineChars="15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shd w:val="clear" w:color="auto" w:fill="FFFFFF"/>
          <w:lang w:bidi="ar"/>
        </w:rPr>
        <w:t>单位（盖章）：                                                 填表时间：</w:t>
      </w:r>
    </w:p>
    <w:tbl>
      <w:tblPr>
        <w:tblStyle w:val="3"/>
        <w:tblW w:w="148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10"/>
        <w:gridCol w:w="1164"/>
        <w:gridCol w:w="4576"/>
        <w:gridCol w:w="2220"/>
        <w:gridCol w:w="2670"/>
        <w:gridCol w:w="2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80" w:lineRule="exact"/>
              <w:jc w:val="center"/>
            </w:pPr>
            <w:r>
              <w:rPr>
                <w:rFonts w:ascii="Times New Roman" w:hAnsi="宋体" w:eastAsia="黑体" w:cs="黑体"/>
                <w:kern w:val="0"/>
                <w:sz w:val="24"/>
                <w:lang w:bidi="ar"/>
              </w:rPr>
              <w:t>序</w:t>
            </w:r>
            <w:r>
              <w:rPr>
                <w:rFonts w:hint="eastAsia" w:ascii="Times New Roman" w:hAnsi="宋体" w:eastAsia="黑体" w:cs="黑体"/>
                <w:kern w:val="0"/>
                <w:sz w:val="24"/>
                <w:lang w:bidi="ar"/>
              </w:rPr>
              <w:t>号</w:t>
            </w:r>
          </w:p>
        </w:tc>
        <w:tc>
          <w:tcPr>
            <w:tcW w:w="18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Autospacing="0" w:after="0" w:afterAutospacing="0" w:line="440" w:lineRule="exact"/>
              <w:jc w:val="center"/>
            </w:pPr>
            <w:r>
              <w:rPr>
                <w:rFonts w:hint="eastAsia" w:ascii="Times New Roman" w:hAnsi="宋体" w:eastAsia="黑体" w:cs="黑体"/>
                <w:kern w:val="0"/>
                <w:sz w:val="24"/>
                <w:lang w:bidi="ar"/>
              </w:rPr>
              <w:t>检查对象</w:t>
            </w:r>
          </w:p>
        </w:tc>
        <w:tc>
          <w:tcPr>
            <w:tcW w:w="45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80" w:lineRule="exact"/>
              <w:jc w:val="center"/>
            </w:pP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食品安全法律责任</w:t>
            </w:r>
            <w:r>
              <w:rPr>
                <w:rFonts w:ascii="黑体" w:hAnsi="黑体" w:eastAsia="黑体" w:cs="黑体"/>
                <w:sz w:val="24"/>
              </w:rPr>
              <w:t>“</w:t>
            </w:r>
            <w:r>
              <w:rPr>
                <w:rFonts w:hint="eastAsia" w:ascii="黑体" w:hAnsi="黑体" w:eastAsia="黑体" w:cs="黑体"/>
                <w:sz w:val="24"/>
              </w:rPr>
              <w:t>十不放过</w:t>
            </w:r>
            <w:r>
              <w:rPr>
                <w:rFonts w:ascii="黑体" w:hAnsi="黑体" w:eastAsia="黑体" w:cs="黑体"/>
                <w:sz w:val="24"/>
              </w:rPr>
              <w:t>”</w:t>
            </w:r>
          </w:p>
        </w:tc>
        <w:tc>
          <w:tcPr>
            <w:tcW w:w="22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80" w:lineRule="exact"/>
              <w:jc w:val="center"/>
            </w:pPr>
            <w:r>
              <w:rPr>
                <w:rFonts w:hint="eastAsia" w:ascii="Times New Roman" w:hAnsi="宋体" w:eastAsia="黑体" w:cs="黑体"/>
                <w:kern w:val="0"/>
                <w:sz w:val="24"/>
                <w:lang w:bidi="ar"/>
              </w:rPr>
              <w:t>处置和管理情况</w:t>
            </w:r>
          </w:p>
        </w:tc>
        <w:tc>
          <w:tcPr>
            <w:tcW w:w="26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80" w:lineRule="exact"/>
              <w:jc w:val="center"/>
            </w:pPr>
            <w:r>
              <w:rPr>
                <w:rFonts w:hint="eastAsia" w:ascii="Times New Roman" w:hAnsi="宋体" w:eastAsia="黑体" w:cs="黑体"/>
                <w:kern w:val="0"/>
                <w:sz w:val="24"/>
                <w:lang w:bidi="ar"/>
              </w:rPr>
              <w:t>初步整改意见和要求</w:t>
            </w:r>
          </w:p>
        </w:tc>
        <w:tc>
          <w:tcPr>
            <w:tcW w:w="27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80" w:lineRule="exact"/>
              <w:jc w:val="center"/>
            </w:pPr>
            <w:r>
              <w:rPr>
                <w:rFonts w:hint="eastAsia" w:ascii="Times New Roman" w:hAnsi="宋体" w:eastAsia="黑体" w:cs="黑体"/>
                <w:kern w:val="0"/>
                <w:sz w:val="24"/>
                <w:lang w:bidi="ar"/>
              </w:rPr>
              <w:t>整改完成时限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8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45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2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7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名称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地址</w:t>
            </w:r>
          </w:p>
        </w:tc>
        <w:tc>
          <w:tcPr>
            <w:tcW w:w="45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2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6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7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4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无证无照经营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4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监督抽检不合格食品，危害污染物质超过食品标准限量,非法添加食品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4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群众投诉查实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4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营养成分不符合食品安全标准的专供婴幼儿食品,国家明令禁止食品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4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未经检疫或者检疫不合格肉类,用回收食品作为原料的食品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4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未按规定注册的婴幼儿配方乳粉和保健等食品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4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腐败变质、油脂酸败、霉变生虫、混有异物、掺假掺杂食品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  <w:bookmarkStart w:id="0" w:name="_GoBack"/>
            <w:bookmarkEnd w:id="0"/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4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无标签的预包装食品,被污染的食品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4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责令逾期不整改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4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市场开办者允许未取得许可的食品经营者进入市场销售食品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</w:tbl>
    <w:p>
      <w:pPr>
        <w:pStyle w:val="6"/>
        <w:spacing w:line="200" w:lineRule="atLeast"/>
        <w:jc w:val="both"/>
        <w:rPr>
          <w:rFonts w:hint="eastAsia" w:ascii="仿宋_GB2312" w:hAnsi="仿宋_GB2312" w:eastAsia="仿宋_GB2312" w:cs="仿宋_GB2312"/>
          <w:sz w:val="24"/>
        </w:rPr>
      </w:pPr>
    </w:p>
    <w:p>
      <w:r>
        <w:rPr>
          <w:rFonts w:hint="eastAsia" w:ascii="仿宋_GB2312" w:hAnsi="仿宋_GB2312" w:eastAsia="仿宋_GB2312" w:cs="仿宋_GB2312"/>
          <w:sz w:val="24"/>
        </w:rPr>
        <w:t>填表联系人：             电话：            分管领导：            电话：</w:t>
      </w:r>
    </w:p>
    <w:sectPr>
      <w:pgSz w:w="16838" w:h="11906" w:orient="landscape"/>
      <w:pgMar w:top="680" w:right="1440" w:bottom="6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9F55B6"/>
    <w:rsid w:val="505152DE"/>
    <w:rsid w:val="6D073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等线" w:hAnsi="等线" w:eastAsia="等线"/>
    </w:rPr>
  </w:style>
  <w:style w:type="paragraph" w:customStyle="1" w:styleId="5">
    <w:name w:val="样式3"/>
    <w:basedOn w:val="1"/>
    <w:qFormat/>
    <w:uiPriority w:val="0"/>
    <w:pPr>
      <w:overflowPunct w:val="0"/>
      <w:autoSpaceDE w:val="0"/>
      <w:autoSpaceDN w:val="0"/>
      <w:adjustRightInd w:val="0"/>
      <w:snapToGrid w:val="0"/>
      <w:spacing w:line="560" w:lineRule="exact"/>
      <w:jc w:val="center"/>
    </w:pPr>
    <w:rPr>
      <w:rFonts w:hint="eastAsia" w:ascii="方正小标宋_GBK" w:hAnsi="方正小标宋_GBK" w:eastAsia="方正小标宋简体" w:cs="Times New Roman"/>
      <w:kern w:val="0"/>
      <w:sz w:val="44"/>
      <w:szCs w:val="44"/>
    </w:rPr>
  </w:style>
  <w:style w:type="paragraph" w:customStyle="1" w:styleId="6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零落丶赤染樱</cp:lastModifiedBy>
  <dcterms:modified xsi:type="dcterms:W3CDTF">2021-07-05T08:13:23Z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