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ascii="Times New Roman" w:hAnsi="Times New Roman" w:eastAsia="方正小标宋简体" w:cs="方正小标宋简体"/>
          <w:spacing w:val="-6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spacing w:val="-6"/>
          <w:sz w:val="44"/>
          <w:szCs w:val="44"/>
          <w:lang w:val="en-US" w:eastAsia="zh-CN"/>
        </w:rPr>
        <w:t>惠州大亚湾经济技术开发区</w:t>
      </w:r>
      <w:r>
        <w:rPr>
          <w:rFonts w:hint="eastAsia" w:ascii="Times New Roman" w:hAnsi="Times New Roman" w:eastAsia="方正小标宋简体" w:cs="方正小标宋简体"/>
          <w:bCs/>
          <w:spacing w:val="-6"/>
          <w:sz w:val="44"/>
          <w:szCs w:val="44"/>
        </w:rPr>
        <w:t>市场监督管理局</w:t>
      </w:r>
    </w:p>
    <w:p>
      <w:pPr>
        <w:spacing w:line="640" w:lineRule="exact"/>
        <w:jc w:val="center"/>
        <w:rPr>
          <w:rFonts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行政处罚决定书</w:t>
      </w:r>
    </w:p>
    <w:p>
      <w:pPr>
        <w:wordWrap w:val="0"/>
        <w:snapToGrid w:val="0"/>
        <w:spacing w:before="312" w:beforeLines="100" w:after="312" w:afterLines="100" w:line="520" w:lineRule="exact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5" b="1778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70"/>
                        </a:xfrm>
                        <a:prstGeom prst="straightConnector1">
                          <a:avLst/>
                        </a:prstGeom>
                        <a:ln w="1905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pt;margin-top:1638pt;height:0.1pt;width:453.7pt;z-index:251710464;mso-width-relative:page;mso-height-relative:page;" filled="f" stroked="t" coordsize="21600,21600" o:gfxdata="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teKJra&#10;AAAACwEAAA8AAAAAAAAAAQAgAAAAIgAAAGRycy9kb3ducmV2LnhtbFBLAQIUABQAAAAIAIdO4kDj&#10;x/DE5QEAAKIDAAAOAAAAAAAAAAEAIAAAACkBAABkcnMvZTJvRG9jLnhtbFBLBQYAAAAABgAGAFkB&#10;AACA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惠湾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西处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2021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4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号</w:t>
      </w:r>
    </w:p>
    <w:p>
      <w:pPr>
        <w:spacing w:line="560" w:lineRule="exact"/>
        <w:rPr>
          <w:rFonts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微软雅黑"/>
          <w:kern w:val="1"/>
          <w:sz w:val="32"/>
          <w:szCs w:val="32"/>
        </w:rPr>
        <w:t>当事人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惠州市卓悦风尚健康服务有限公司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                                       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</w:t>
      </w:r>
    </w:p>
    <w:p>
      <w:pPr>
        <w:spacing w:line="560" w:lineRule="exact"/>
        <w:ind w:left="140" w:hanging="140"/>
        <w:rPr>
          <w:rFonts w:ascii="Times New Roman" w:hAnsi="Times New Roman" w:eastAsia="仿宋_GB2312" w:cs="Mongolian Baiti"/>
          <w:kern w:val="1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主体资格证照名称：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  <w:lang w:val="en-US" w:eastAsia="zh-CN"/>
        </w:rPr>
        <w:t>营业执照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                             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</w:t>
      </w:r>
    </w:p>
    <w:p>
      <w:pPr>
        <w:spacing w:line="560" w:lineRule="exact"/>
        <w:ind w:left="140" w:hanging="140"/>
        <w:rPr>
          <w:rFonts w:ascii="Times New Roman" w:hAnsi="Times New Roman" w:eastAsia="仿宋_GB2312" w:cs="Mongolian Baiti"/>
          <w:kern w:val="1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统一社会信用代码（注册号）：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91441300MA51NAKD3L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                             </w:t>
      </w:r>
    </w:p>
    <w:p>
      <w:pPr>
        <w:spacing w:line="500" w:lineRule="exact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住所（住址）：</w:t>
      </w:r>
      <w:r>
        <w:rPr>
          <w:rFonts w:hint="eastAsia" w:ascii="仿宋" w:hAnsi="仿宋" w:eastAsia="仿宋" w:cs="Times New Roman"/>
          <w:spacing w:val="-11"/>
          <w:sz w:val="32"/>
          <w:szCs w:val="32"/>
          <w:u w:val="single"/>
          <w:lang w:val="en-US" w:eastAsia="zh-CN"/>
        </w:rPr>
        <w:t>惠州大亚湾西区龙光城商业广场L3层L339b号商铺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>
      <w:pPr>
        <w:spacing w:line="560" w:lineRule="exact"/>
        <w:ind w:left="140" w:hanging="140"/>
        <w:rPr>
          <w:rFonts w:ascii="Times New Roman" w:hAnsi="Times New Roman" w:eastAsia="仿宋_GB2312" w:cs="Mongolian Baiti"/>
          <w:kern w:val="1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法定代表人（负责人、经营者）：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杨海霞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      </w:t>
      </w:r>
    </w:p>
    <w:p>
      <w:pPr>
        <w:spacing w:line="500" w:lineRule="exact"/>
        <w:ind w:left="140" w:hanging="140"/>
        <w:rPr>
          <w:rFonts w:ascii="Times New Roman" w:hAnsi="Times New Roman" w:eastAsia="仿宋_GB2312" w:cs="Mongolian Baiti"/>
          <w:kern w:val="1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Times New Roman" w:hAnsi="Times New Roman" w:eastAsia="仿宋_GB2312" w:cs="Mongolian Baiti"/>
          <w:kern w:val="1"/>
          <w:sz w:val="32"/>
          <w:szCs w:val="32"/>
        </w:rPr>
        <w:t>联系地址：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惠州大亚湾西区龙光城商业广场L3层L339b号商铺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</w:rPr>
        <w:t xml:space="preserve">                                     </w:t>
      </w:r>
      <w:r>
        <w:rPr>
          <w:rFonts w:hint="eastAsia" w:ascii="Times New Roman" w:hAnsi="Times New Roman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2020年11月28日，我局执法人员对位于大亚湾西区龙光城商业广场L3层L339b号商铺的惠州卓悦风尚健康服务有限公司依法进行检查，现场检查时发现，在该公司接待厅的冰柜里发现“呈爱”牌天然矿泉水，共计7瓶，净含量为350ml，瓶口标注生产日期为：2019年11月13日，保质期为12个月，已超过保质期15天，且当事人无法提供《食品经营许可证》，经初步调查，当事人涉嫌未经许可从事食品销售及销售过期食品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，我局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当日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对当事人立案调查，对当事人涉嫌违法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经营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的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超过保质期的矿泉水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实施扣押行政强制措施</w:t>
      </w:r>
      <w:r>
        <w:rPr>
          <w:rFonts w:hint="eastAsia" w:ascii="仿宋" w:hAnsi="仿宋" w:eastAsia="仿宋" w:cs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详见《财物清单》文书编号169号</w:t>
      </w:r>
      <w:r>
        <w:rPr>
          <w:rFonts w:hint="eastAsia" w:ascii="仿宋" w:hAnsi="仿宋" w:eastAsia="仿宋" w:cs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，并责令当事人立即停止违法经营行为。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spacing w:line="520" w:lineRule="exact"/>
        <w:ind w:firstLine="640" w:firstLineChars="200"/>
        <w:rPr>
          <w:rFonts w:hint="eastAsia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u w:val="single"/>
        </w:rPr>
        <w:t>经查实，当事人于201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月起，在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未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办理《食品经营许可证》的情况下，擅自在惠州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大亚湾西区龙光城商业广场L3层L339b号商铺销售饮品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；当事人销售的超过保质期的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“呈爱”牌天然矿泉水共计7瓶，净含量为350ml，生产日期为：2019年11月13日，保质期为12个月，至我局立案调查时，该批次的“呈爱”牌天然矿泉水已超过保质期15天。</w:t>
      </w:r>
      <w:r>
        <w:rPr>
          <w:rFonts w:hint="eastAsia" w:ascii="仿宋" w:eastAsia="仿宋"/>
          <w:sz w:val="32"/>
          <w:u w:val="single"/>
        </w:rPr>
        <w:t>根据对当事人的询问调查</w:t>
      </w:r>
      <w:r>
        <w:rPr>
          <w:rFonts w:hint="eastAsia" w:ascii="仿宋" w:eastAsia="仿宋"/>
          <w:sz w:val="32"/>
          <w:u w:val="single"/>
          <w:lang w:eastAsia="zh-CN"/>
        </w:rPr>
        <w:t>，</w:t>
      </w:r>
      <w:r>
        <w:rPr>
          <w:rFonts w:hint="eastAsia" w:ascii="仿宋" w:eastAsia="仿宋"/>
          <w:sz w:val="32"/>
          <w:u w:val="single"/>
          <w:lang w:val="en-US" w:eastAsia="zh-CN"/>
        </w:rPr>
        <w:t>当事人于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2020年1月份与公司附近批发商电话联系购进该批次的“呈爱”牌天然矿泉水20件（24瓶/件），其中15件用于在店庆时赠送客户，剩余5件用于公司零售，进货价格为1元/瓶，销售价格是1.5元/瓶</w:t>
      </w:r>
      <w:r>
        <w:rPr>
          <w:rFonts w:hint="eastAsia" w:eastAsia="仿宋_GB2312" w:cs="仿宋_GB2312"/>
          <w:sz w:val="32"/>
          <w:szCs w:val="32"/>
          <w:u w:val="single"/>
          <w:lang w:eastAsia="zh-CN"/>
        </w:rPr>
        <w:t>。</w:t>
      </w:r>
      <w:r>
        <w:rPr>
          <w:rFonts w:hint="eastAsia" w:ascii="仿宋" w:eastAsia="仿宋"/>
          <w:sz w:val="32"/>
          <w:u w:val="single"/>
        </w:rPr>
        <w:t>由于当事人未建立进</w:t>
      </w:r>
      <w:r>
        <w:rPr>
          <w:rFonts w:hint="eastAsia" w:ascii="仿宋" w:eastAsia="仿宋"/>
          <w:sz w:val="32"/>
          <w:u w:val="single"/>
          <w:lang w:val="en-US" w:eastAsia="zh-CN"/>
        </w:rPr>
        <w:t>出</w:t>
      </w:r>
      <w:r>
        <w:rPr>
          <w:rFonts w:hint="eastAsia" w:ascii="仿宋" w:eastAsia="仿宋"/>
          <w:sz w:val="32"/>
          <w:u w:val="single"/>
        </w:rPr>
        <w:t>货台账也没有保留进出货票据，</w:t>
      </w:r>
      <w:r>
        <w:rPr>
          <w:rFonts w:hint="eastAsia" w:ascii="仿宋" w:eastAsia="仿宋"/>
          <w:sz w:val="32"/>
          <w:u w:val="single"/>
          <w:lang w:val="en-US" w:eastAsia="zh-CN"/>
        </w:rPr>
        <w:t>故无法核实该批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“呈爱”牌</w:t>
      </w:r>
      <w:r>
        <w:rPr>
          <w:rFonts w:hint="eastAsia" w:ascii="仿宋" w:eastAsia="仿宋"/>
          <w:sz w:val="32"/>
          <w:u w:val="single"/>
          <w:lang w:val="en-US" w:eastAsia="zh-CN"/>
        </w:rPr>
        <w:t>天然矿泉水超过保质期后的销售数量，</w:t>
      </w:r>
      <w:r>
        <w:rPr>
          <w:rFonts w:hint="eastAsia" w:ascii="仿宋" w:eastAsia="仿宋"/>
          <w:sz w:val="32"/>
          <w:u w:val="single"/>
        </w:rPr>
        <w:t>结合当事人陈述以及《财物清单》（</w:t>
      </w:r>
      <w:r>
        <w:rPr>
          <w:rFonts w:hint="eastAsia" w:ascii="仿宋" w:eastAsia="仿宋"/>
          <w:sz w:val="32"/>
          <w:u w:val="single"/>
          <w:lang w:val="en-US" w:eastAsia="zh-CN"/>
        </w:rPr>
        <w:t>文书编号</w:t>
      </w:r>
      <w:r>
        <w:rPr>
          <w:rFonts w:hint="eastAsia" w:ascii="仿宋" w:eastAsia="仿宋"/>
          <w:sz w:val="32"/>
          <w:u w:val="single"/>
        </w:rPr>
        <w:t>16</w:t>
      </w:r>
      <w:r>
        <w:rPr>
          <w:rFonts w:hint="eastAsia" w:ascii="仿宋" w:eastAsia="仿宋"/>
          <w:sz w:val="32"/>
          <w:u w:val="single"/>
          <w:lang w:val="en-US" w:eastAsia="zh-CN"/>
        </w:rPr>
        <w:t>9</w:t>
      </w:r>
      <w:r>
        <w:rPr>
          <w:rFonts w:hint="eastAsia" w:ascii="仿宋" w:eastAsia="仿宋"/>
          <w:sz w:val="32"/>
          <w:u w:val="single"/>
        </w:rPr>
        <w:t>号）,该案能认定的货值金额为</w:t>
      </w:r>
      <w:r>
        <w:rPr>
          <w:rFonts w:hint="eastAsia" w:ascii="仿宋" w:eastAsia="仿宋"/>
          <w:sz w:val="32"/>
          <w:u w:val="single"/>
          <w:lang w:val="en-US" w:eastAsia="zh-CN"/>
        </w:rPr>
        <w:t>10.50</w:t>
      </w:r>
      <w:r>
        <w:rPr>
          <w:rFonts w:hint="eastAsia" w:ascii="仿宋" w:eastAsia="仿宋"/>
          <w:sz w:val="32"/>
          <w:u w:val="single"/>
        </w:rPr>
        <w:t>元，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在本案的调查过程中，执法人员在现场没有发现经营相关票据，且未发现当事人有建立账本账册，无法收集到当事人违法所得的相关明细账册及单据，故无法计算违法所得。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                                        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当事人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未经许可从事食品销售及销售超过保质期的食品</w:t>
      </w:r>
      <w:r>
        <w:rPr>
          <w:rFonts w:hint="eastAsia" w:eastAsia="仿宋_GB2312" w:cs="仿宋_GB2312"/>
          <w:sz w:val="32"/>
          <w:szCs w:val="32"/>
          <w:u w:val="single"/>
        </w:rPr>
        <w:t>行为，违反了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《中华人民共和国食品安全法》第三十五条第一款，即“国家对食品生产经营实行许可制度。从事食品生产、食品销售、餐饮服务，应当依法取得许可。”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及</w:t>
      </w:r>
      <w:r>
        <w:rPr>
          <w:rFonts w:hint="eastAsia" w:eastAsia="仿宋_GB2312" w:cs="仿宋_GB2312"/>
          <w:sz w:val="32"/>
          <w:szCs w:val="32"/>
          <w:u w:val="single"/>
        </w:rPr>
        <w:t>第三十四条第十项，即“禁止生产经营下列食品、食品添加剂、食品相关产品：（十）标注虚假生产日期、保质期或者超过保质期的食品、食品添加剂”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的规定。</w:t>
      </w:r>
      <w:r>
        <w:rPr>
          <w:rFonts w:ascii="仿宋" w:hAnsi="仿宋" w:eastAsia="仿宋" w:cs="仿宋_GB2312"/>
          <w:sz w:val="32"/>
          <w:szCs w:val="32"/>
          <w:u w:val="single"/>
        </w:rPr>
        <w:t xml:space="preserve"> 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    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上述事实，主要有以下证据证明：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被委托人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>询问笔录、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>照片、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>《</w:t>
      </w:r>
      <w:r>
        <w:rPr>
          <w:rFonts w:hint="eastAsia" w:ascii="仿宋" w:eastAsia="仿宋"/>
          <w:sz w:val="32"/>
          <w:u w:val="single"/>
        </w:rPr>
        <w:t>财物清单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>》</w:t>
      </w:r>
      <w:r>
        <w:rPr>
          <w:rFonts w:hint="eastAsia" w:ascii="仿宋" w:eastAsia="仿宋"/>
          <w:sz w:val="32"/>
          <w:u w:val="single"/>
        </w:rPr>
        <w:t>16</w:t>
      </w:r>
      <w:r>
        <w:rPr>
          <w:rFonts w:hint="eastAsia" w:ascii="仿宋" w:eastAsia="仿宋"/>
          <w:sz w:val="32"/>
          <w:u w:val="single"/>
          <w:lang w:val="en-US" w:eastAsia="zh-CN"/>
        </w:rPr>
        <w:t>9</w:t>
      </w:r>
      <w:r>
        <w:rPr>
          <w:rFonts w:hint="eastAsia" w:ascii="仿宋" w:eastAsia="仿宋"/>
          <w:sz w:val="32"/>
          <w:u w:val="single"/>
        </w:rPr>
        <w:t>号</w:t>
      </w:r>
      <w:r>
        <w:rPr>
          <w:rFonts w:hint="eastAsia" w:ascii="仿宋" w:eastAsia="仿宋"/>
          <w:sz w:val="32"/>
          <w:u w:val="single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《减轻处罚申请书》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等证据为证，事实清楚，证据确凿。        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                      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lang w:val="en-US" w:eastAsia="zh-CN"/>
        </w:rPr>
        <w:t>当事人自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  <w:lang w:val="en-US" w:eastAsia="zh-CN"/>
        </w:rPr>
        <w:t>2021年1月8日收到《行政处罚告知书》（惠湾市监西告字</w:t>
      </w:r>
      <w:r>
        <w:rPr>
          <w:rFonts w:hint="eastAsia" w:ascii="Times New Roman" w:hAnsi="Times New Roman" w:eastAsia="仿宋_GB2312" w:cs="仿宋"/>
          <w:color w:val="auto"/>
          <w:sz w:val="32"/>
          <w:szCs w:val="32"/>
          <w:u w:val="single"/>
        </w:rPr>
        <w:t>〔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  <w:lang w:val="en-US" w:eastAsia="zh-CN"/>
        </w:rPr>
        <w:t>2021</w:t>
      </w:r>
      <w:r>
        <w:rPr>
          <w:rFonts w:hint="eastAsia" w:ascii="Times New Roman" w:hAnsi="Times New Roman" w:eastAsia="仿宋_GB2312" w:cs="仿宋"/>
          <w:color w:val="auto"/>
          <w:sz w:val="32"/>
          <w:szCs w:val="32"/>
          <w:u w:val="single"/>
        </w:rPr>
        <w:t>〕</w:t>
      </w:r>
      <w:r>
        <w:rPr>
          <w:rFonts w:hint="eastAsia" w:ascii="Times New Roman" w:hAnsi="Times New Roman" w:eastAsia="仿宋_GB2312" w:cs="仿宋"/>
          <w:color w:val="auto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  <w:lang w:val="en-US" w:eastAsia="zh-CN"/>
        </w:rPr>
        <w:t>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lang w:val="en-US" w:eastAsia="zh-CN"/>
        </w:rPr>
        <w:t>后，三个工作日内未提出陈述、申辩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  <w:lang w:val="en-US" w:eastAsia="zh-CN"/>
        </w:rPr>
        <w:t>的</w:t>
      </w:r>
      <w:r>
        <w:rPr>
          <w:rFonts w:hint="eastAsia" w:ascii="Times New Roman" w:hAnsi="Times New Roman" w:eastAsia="仿宋_GB2312" w:cs="仿宋"/>
          <w:bCs/>
          <w:color w:val="auto"/>
          <w:sz w:val="32"/>
          <w:szCs w:val="32"/>
          <w:u w:val="single"/>
        </w:rPr>
        <w:t>要求。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eastAsia="仿宋_GB2312" w:cs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eastAsia="仿宋_GB2312" w:cs="仿宋_GB2312"/>
          <w:bCs/>
          <w:sz w:val="32"/>
          <w:szCs w:val="32"/>
          <w:u w:val="single"/>
        </w:rPr>
        <w:t>现根据</w:t>
      </w:r>
      <w:r>
        <w:rPr>
          <w:rFonts w:hint="eastAsia" w:ascii="仿宋" w:hAnsi="仿宋" w:eastAsia="仿宋" w:cs="仿宋_GB2312"/>
          <w:bCs/>
          <w:sz w:val="32"/>
          <w:szCs w:val="32"/>
          <w:u w:val="single"/>
        </w:rPr>
        <w:t>《中华人民共和国食品安全法》第一百二十二条第一款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>、第一百二十四条第一款第五项、《中华人民共和国行政处罚法》第二十三条、第二十七条第一款第四项及《广东省市场监督管理局关于行政处罚自由裁量权的适用规则》第十七条第一项的规定，责令当事人立即停止违法经营行为，决定</w:t>
      </w:r>
      <w:r>
        <w:rPr>
          <w:rFonts w:hint="eastAsia" w:eastAsia="仿宋_GB2312" w:cs="仿宋_GB2312"/>
          <w:bCs/>
          <w:sz w:val="32"/>
          <w:szCs w:val="32"/>
          <w:u w:val="single"/>
          <w:lang w:eastAsia="zh-CN"/>
        </w:rPr>
        <w:t>对当事人</w:t>
      </w:r>
      <w:r>
        <w:rPr>
          <w:rFonts w:hint="eastAsia" w:eastAsia="仿宋_GB2312" w:cs="仿宋_GB2312"/>
          <w:bCs/>
          <w:sz w:val="32"/>
          <w:szCs w:val="32"/>
          <w:u w:val="single"/>
        </w:rPr>
        <w:t>处以</w:t>
      </w:r>
      <w:r>
        <w:rPr>
          <w:rFonts w:hint="eastAsia" w:eastAsia="仿宋_GB2312" w:cs="仿宋_GB2312"/>
          <w:bCs/>
          <w:sz w:val="32"/>
          <w:szCs w:val="32"/>
          <w:u w:val="single"/>
          <w:lang w:eastAsia="zh-CN"/>
        </w:rPr>
        <w:t>如下</w:t>
      </w:r>
      <w:r>
        <w:rPr>
          <w:rFonts w:hint="eastAsia" w:ascii="Times New Roman" w:hAnsi="Times New Roman" w:eastAsia="仿宋_GB2312" w:cs="仿宋_GB2312"/>
          <w:bCs/>
          <w:sz w:val="32"/>
          <w:szCs w:val="32"/>
          <w:u w:val="single"/>
          <w:lang w:val="en-US" w:eastAsia="zh-CN"/>
        </w:rPr>
        <w:t>减轻</w:t>
      </w:r>
      <w:r>
        <w:rPr>
          <w:rFonts w:hint="eastAsia" w:eastAsia="仿宋_GB2312" w:cs="仿宋_GB2312"/>
          <w:bCs/>
          <w:sz w:val="32"/>
          <w:szCs w:val="32"/>
          <w:u w:val="single"/>
          <w:lang w:eastAsia="zh-CN"/>
        </w:rPr>
        <w:t>行政处罚：</w:t>
      </w:r>
      <w:r>
        <w:rPr>
          <w:rFonts w:hint="eastAsia" w:eastAsia="仿宋_GB2312" w:cs="仿宋_GB2312"/>
          <w:bCs/>
          <w:sz w:val="32"/>
          <w:szCs w:val="32"/>
          <w:u w:val="single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eastAsia="仿宋_GB2312" w:cs="仿宋_GB2312"/>
          <w:bCs/>
          <w:sz w:val="32"/>
          <w:szCs w:val="32"/>
          <w:u w:val="single"/>
          <w:lang w:val="en-US" w:eastAsia="zh-CN"/>
        </w:rPr>
      </w:pPr>
      <w:r>
        <w:rPr>
          <w:rFonts w:hint="eastAsia" w:eastAsia="仿宋_GB2312" w:cs="仿宋_GB2312"/>
          <w:bCs/>
          <w:sz w:val="32"/>
          <w:szCs w:val="32"/>
          <w:u w:val="single"/>
          <w:lang w:val="en-US" w:eastAsia="zh-CN"/>
        </w:rPr>
        <w:t>一、对当事人未经许可从事食品销售的行为处以</w:t>
      </w:r>
      <w:r>
        <w:rPr>
          <w:rFonts w:hint="eastAsia" w:eastAsia="仿宋_GB2312" w:cs="仿宋_GB2312"/>
          <w:bCs/>
          <w:sz w:val="32"/>
          <w:szCs w:val="32"/>
          <w:u w:val="single"/>
        </w:rPr>
        <w:t>罚款人民币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eastAsia="zh-CN"/>
        </w:rPr>
        <w:t>伍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val="en-US" w:eastAsia="zh-CN"/>
        </w:rPr>
        <w:t>仟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eastAsia="zh-CN"/>
        </w:rPr>
        <w:t>元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</w:rPr>
        <w:t>整（¥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val="en-US" w:eastAsia="zh-CN"/>
        </w:rPr>
        <w:t>50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</w:rPr>
        <w:t>00.00）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eastAsia="zh-CN"/>
        </w:rPr>
        <w:t>；</w:t>
      </w:r>
      <w:r>
        <w:rPr>
          <w:rFonts w:hint="eastAsia" w:eastAsia="仿宋_GB2312" w:cs="仿宋_GB2312"/>
          <w:bCs/>
          <w:sz w:val="32"/>
          <w:szCs w:val="3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 w:cs="仿宋_GB2312"/>
          <w:bCs/>
          <w:sz w:val="32"/>
          <w:szCs w:val="32"/>
          <w:u w:val="single"/>
        </w:rPr>
      </w:pPr>
      <w:r>
        <w:rPr>
          <w:rFonts w:hint="eastAsia" w:eastAsia="仿宋_GB2312" w:cs="仿宋_GB2312"/>
          <w:bCs/>
          <w:sz w:val="32"/>
          <w:szCs w:val="32"/>
          <w:u w:val="single"/>
          <w:lang w:val="en-US" w:eastAsia="zh-CN"/>
        </w:rPr>
        <w:t>二、对当事人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销售超过保质期的食品</w:t>
      </w:r>
      <w:r>
        <w:rPr>
          <w:rFonts w:hint="eastAsia" w:eastAsia="仿宋_GB2312" w:cs="仿宋_GB2312"/>
          <w:sz w:val="32"/>
          <w:szCs w:val="32"/>
          <w:u w:val="single"/>
        </w:rPr>
        <w:t>行为</w:t>
      </w:r>
      <w:r>
        <w:rPr>
          <w:rFonts w:hint="eastAsia" w:eastAsia="仿宋_GB2312" w:cs="仿宋_GB2312"/>
          <w:sz w:val="32"/>
          <w:szCs w:val="32"/>
          <w:u w:val="single"/>
          <w:lang w:val="en-US" w:eastAsia="zh-CN"/>
        </w:rPr>
        <w:t>处以罚款</w:t>
      </w:r>
      <w:r>
        <w:rPr>
          <w:rFonts w:hint="eastAsia" w:eastAsia="仿宋_GB2312" w:cs="仿宋_GB2312"/>
          <w:bCs/>
          <w:sz w:val="32"/>
          <w:szCs w:val="32"/>
          <w:u w:val="single"/>
        </w:rPr>
        <w:t>人民币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eastAsia="zh-CN"/>
        </w:rPr>
        <w:t>伍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val="en-US" w:eastAsia="zh-CN"/>
        </w:rPr>
        <w:t>仟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eastAsia="zh-CN"/>
        </w:rPr>
        <w:t>元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</w:rPr>
        <w:t>整（¥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val="en-US" w:eastAsia="zh-CN"/>
        </w:rPr>
        <w:t>50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</w:rPr>
        <w:t>00.00）</w:t>
      </w:r>
      <w:r>
        <w:rPr>
          <w:rFonts w:hint="eastAsia" w:eastAsia="仿宋_GB2312" w:cs="仿宋_GB2312"/>
          <w:bCs/>
          <w:color w:val="auto"/>
          <w:sz w:val="32"/>
          <w:szCs w:val="32"/>
          <w:u w:val="single"/>
          <w:lang w:eastAsia="zh-CN"/>
        </w:rPr>
        <w:t>；</w:t>
      </w:r>
      <w:r>
        <w:rPr>
          <w:rFonts w:hint="eastAsia" w:eastAsia="仿宋_GB2312" w:cs="仿宋_GB2312"/>
          <w:bCs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eastAsia="仿宋_GB2312" w:cs="仿宋_GB2312"/>
          <w:bCs/>
          <w:sz w:val="32"/>
          <w:szCs w:val="32"/>
          <w:u w:val="single"/>
        </w:rPr>
        <w:t xml:space="preserve"> </w:t>
      </w:r>
      <w:r>
        <w:rPr>
          <w:rFonts w:hint="eastAsia" w:eastAsia="仿宋_GB2312" w:cs="仿宋_GB2312"/>
          <w:bCs/>
          <w:sz w:val="32"/>
          <w:szCs w:val="32"/>
          <w:u w:val="single"/>
          <w:lang w:val="en-US" w:eastAsia="zh-CN"/>
        </w:rPr>
        <w:t xml:space="preserve">          </w:t>
      </w:r>
      <w:r>
        <w:rPr>
          <w:rFonts w:eastAsia="仿宋_GB2312" w:cs="仿宋_GB2312"/>
          <w:bCs/>
          <w:sz w:val="32"/>
          <w:szCs w:val="32"/>
          <w:u w:val="single"/>
        </w:rPr>
        <w:t xml:space="preserve">      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仿宋"/>
          <w:bCs/>
          <w:color w:val="000000"/>
          <w:sz w:val="32"/>
          <w:szCs w:val="32"/>
          <w:u w:val="single"/>
        </w:rPr>
      </w:pPr>
      <w:r>
        <w:rPr>
          <w:rFonts w:hint="eastAsia" w:eastAsia="仿宋_GB2312" w:cs="仿宋_GB2312"/>
          <w:bCs/>
          <w:sz w:val="32"/>
          <w:szCs w:val="32"/>
          <w:u w:val="single"/>
          <w:lang w:val="en-US" w:eastAsia="zh-CN"/>
        </w:rPr>
        <w:t>三、</w:t>
      </w:r>
      <w:r>
        <w:rPr>
          <w:rFonts w:hint="eastAsia" w:eastAsia="仿宋_GB2312" w:cs="仿宋_GB2312"/>
          <w:bCs/>
          <w:sz w:val="32"/>
          <w:szCs w:val="32"/>
          <w:u w:val="single"/>
        </w:rPr>
        <w:t>没收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超过保质期的</w:t>
      </w:r>
      <w:r>
        <w:rPr>
          <w:rFonts w:hint="eastAsia" w:ascii="仿宋" w:hAnsi="仿宋" w:eastAsia="仿宋" w:cs="Times New Roman"/>
          <w:sz w:val="32"/>
          <w:szCs w:val="32"/>
          <w:u w:val="single"/>
          <w:lang w:val="en-US" w:eastAsia="zh-CN"/>
        </w:rPr>
        <w:t>“呈爱”牌天然矿泉水共计7瓶</w:t>
      </w:r>
      <w:r>
        <w:rPr>
          <w:rFonts w:hint="eastAsia" w:eastAsia="仿宋_GB2312" w:cs="仿宋_GB2312"/>
          <w:bCs/>
          <w:sz w:val="32"/>
          <w:szCs w:val="32"/>
          <w:u w:val="singl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baseline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当事人应自收到处罚决定书之日起15日内，到惠州大亚湾建设银行、工商银行、农业银行、广发银行的其中一间银行缴纳罚款，或者使用大亚湾区市场监督管理局的POS机刷卡缴纳罚款。逾期不缴纳罚款的，每日按罚款数额的3﹪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处罚款。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如不服本处罚决定，可自收到本处罚决定书之日起60日内向惠州市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市场监督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管理局或大亚湾区管委会申请复议，也可以在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6个月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内直接向博罗县人民法院提起诉讼。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  <w:lang w:val="en-US" w:eastAsia="zh-CN"/>
        </w:rPr>
        <w:t>申请行政复议或者提起行政诉讼期间，行政处罚不停止执行。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                               </w:t>
      </w:r>
    </w:p>
    <w:p>
      <w:pPr>
        <w:spacing w:line="500" w:lineRule="exact"/>
        <w:ind w:firstLine="601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spacing w:line="500" w:lineRule="exact"/>
        <w:ind w:firstLine="601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01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惠州市大亚湾经济技术开发区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市场监督管理局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right="640" w:firstLine="601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  （印 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right="640" w:firstLine="601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right="640" w:firstLine="601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  2021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right="640" w:firstLine="601"/>
        <w:jc w:val="center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</w:p>
    <w:p>
      <w:pPr>
        <w:wordWrap w:val="0"/>
        <w:snapToGrid w:val="0"/>
        <w:spacing w:line="520" w:lineRule="exact"/>
        <w:jc w:val="center"/>
        <w:rPr>
          <w:rFonts w:ascii="Times New Roman" w:hAnsi="Times New Roman" w:eastAsia="仿宋_GB2312" w:cs="仿宋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0"/>
          <w:szCs w:val="30"/>
        </w:rPr>
        <w:t>（市场监督管理部门将依法向社会公示本行政处罚决定信息）</w:t>
      </w:r>
    </w:p>
    <w:p>
      <w:pPr>
        <w:wordWrap w:val="0"/>
        <w:spacing w:line="520" w:lineRule="exact"/>
        <w:rPr>
          <w:rFonts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153035</wp:posOffset>
                </wp:positionV>
                <wp:extent cx="6119495" cy="19050"/>
                <wp:effectExtent l="0" t="7620" r="14605" b="1143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19495" cy="1905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9.1pt;margin-top:12.05pt;height:1.5pt;width:481.85pt;z-index:251712512;mso-width-relative:page;mso-height-relative:page;" filled="f" stroked="t" coordsize="21600,21600" o:gfxdata="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zAvArXAAAACQEAAA8A&#10;AAAAAAAAAQAgAAAAIgAAAGRycy9kb3ducmV2LnhtbFBLAQIUABQAAAAIAIdO4kCQdDmp3wEAAJsD&#10;AAAOAAAAAAAAAAEAIAAAACYBAABkcnMvZTJvRG9jLnhtbFBLBQYAAAAABgAGAFkBAAB3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ordWrap w:val="0"/>
        <w:spacing w:line="520" w:lineRule="exact"/>
        <w:ind w:firstLine="640" w:firstLineChars="200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711488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L7/OR1wAAAAoBAAAPAAAAAAAAAAEA&#10;IAAAACIAAABkcnMvZG93bnJldi54bWxQSwECFAAUAAAACACHTuJAJXomzNcBAACNAwAADgAAAAAA&#10;AAABACAAAAAmAQAAZHJzL2Uyb0RvYy54bWxQSwUGAAAAAAYABgBZAQAAbw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footerReference r:id="rId3" w:type="default"/>
      <w:pgSz w:w="11906" w:h="16838"/>
      <w:pgMar w:top="1440" w:right="1463" w:bottom="1043" w:left="146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2204720</wp:posOffset>
              </wp:positionH>
              <wp:positionV relativeFrom="paragraph">
                <wp:posOffset>-104775</wp:posOffset>
              </wp:positionV>
              <wp:extent cx="1188720" cy="2590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8720" cy="259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楷体" w:hAnsi="楷体" w:eastAsia="楷体" w:cs="楷体"/>
                              <w:sz w:val="24"/>
                              <w:szCs w:val="24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3.6pt;margin-top:-8.25pt;height:20.4pt;width:93.6pt;mso-position-horizontal-relative:margin;z-index:251658240;mso-width-relative:page;mso-height-relative:page;" filled="f" stroked="f" coordsize="21600,21600" o:gfxdata="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HAgsxPaAAAACgEA&#10;AA8AAAAAAAAAAQAgAAAAIgAAAGRycy9kb3ducmV2LnhtbFBLAQIUABQAAAAIAIdO4kCbm6MzGAIA&#10;ABQEAAAOAAAAAAAAAAEAIAAAACkBAABkcnMvZTJvRG9jLnhtbFBLBQYAAAAABgAGAFkBAACzBQAA&#10;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t>4</w:t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楷体" w:hAnsi="楷体" w:eastAsia="楷体" w:cs="楷体"/>
                        <w:sz w:val="24"/>
                        <w:szCs w:val="24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D31FE"/>
    <w:rsid w:val="021544EC"/>
    <w:rsid w:val="04ED0563"/>
    <w:rsid w:val="05D52095"/>
    <w:rsid w:val="082C42D9"/>
    <w:rsid w:val="0DEF55FA"/>
    <w:rsid w:val="0E466A6F"/>
    <w:rsid w:val="106C0C6C"/>
    <w:rsid w:val="14744834"/>
    <w:rsid w:val="14FD1061"/>
    <w:rsid w:val="16063CB9"/>
    <w:rsid w:val="18616F98"/>
    <w:rsid w:val="19074A56"/>
    <w:rsid w:val="1A166A65"/>
    <w:rsid w:val="24E56836"/>
    <w:rsid w:val="255465E1"/>
    <w:rsid w:val="276B0B85"/>
    <w:rsid w:val="35763114"/>
    <w:rsid w:val="36211D88"/>
    <w:rsid w:val="3A3978F9"/>
    <w:rsid w:val="3A595FDE"/>
    <w:rsid w:val="3AC32383"/>
    <w:rsid w:val="413173B5"/>
    <w:rsid w:val="46B31ECA"/>
    <w:rsid w:val="4A35205B"/>
    <w:rsid w:val="4C496273"/>
    <w:rsid w:val="4E0F3A86"/>
    <w:rsid w:val="59C637E0"/>
    <w:rsid w:val="5A8A1CCC"/>
    <w:rsid w:val="628A2760"/>
    <w:rsid w:val="62DF2421"/>
    <w:rsid w:val="698C274E"/>
    <w:rsid w:val="6C137F9C"/>
    <w:rsid w:val="6F44527E"/>
    <w:rsid w:val="76762AE2"/>
    <w:rsid w:val="7D3F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2020-03-04T07:44:00Z</dcterms:created>
  <dc:creator>jio</dc:creator>
  <cp:lastModifiedBy>Administrator</cp:lastModifiedBy>
  <dcterms:modified xsi:type="dcterms:W3CDTF">2021-07-29T09:23:23Z</dcterms:modified>
  <dc:title>惠州大亚湾经济技术开发区市场监督管理局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