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简体" w:cs="方正小标宋简体"/>
          <w:sz w:val="44"/>
          <w:szCs w:val="44"/>
        </w:rPr>
      </w:pPr>
      <w:r>
        <w:rPr>
          <w:rFonts w:hint="eastAsia" w:ascii="Times New Roman" w:hAnsi="Times New Roman" w:eastAsia="方正小标宋简体" w:cs="Mongolian Baiti"/>
          <w:bCs/>
          <w:sz w:val="44"/>
          <w:szCs w:val="44"/>
        </w:rPr>
        <w:t>惠州大亚湾经济技术开发区</w:t>
      </w:r>
      <w:r>
        <w:rPr>
          <w:rFonts w:hint="eastAsia" w:ascii="Times New Roman" w:hAnsi="Times New Roman" w:eastAsia="方正小标宋简体" w:cs="方正小标宋简体"/>
          <w:bCs/>
          <w:sz w:val="44"/>
          <w:szCs w:val="44"/>
        </w:rPr>
        <w:t>市场监督管理局</w:t>
      </w:r>
    </w:p>
    <w:p>
      <w:pPr>
        <w:spacing w:line="64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行政处罚决定书</w:t>
      </w:r>
    </w:p>
    <w:p>
      <w:pPr>
        <w:keepNext w:val="0"/>
        <w:keepLines w:val="0"/>
        <w:pageBreakBefore w:val="0"/>
        <w:widowControl w:val="0"/>
        <w:kinsoku/>
        <w:wordWrap w:val="0"/>
        <w:overflowPunct/>
        <w:topLinePunct w:val="0"/>
        <w:autoSpaceDE/>
        <w:autoSpaceDN/>
        <w:bidi w:val="0"/>
        <w:adjustRightInd/>
        <w:snapToGrid w:val="0"/>
        <w:spacing w:after="312" w:afterLines="100" w:line="560" w:lineRule="exact"/>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u w:val="single"/>
          <w:lang w:val="en-US"/>
        </w:rPr>
        <mc:AlternateContent>
          <mc:Choice Requires="wps">
            <w:drawing>
              <wp:anchor distT="0" distB="0" distL="114300" distR="114300" simplePos="0" relativeHeight="2517104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710464;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v:fill on="f" focussize="0,0"/>
                <v:stroke weight="1.5pt" color="#000000" joinstyle="round" endcap="square"/>
                <v:imagedata o:title=""/>
                <o:lock v:ext="edit" aspectratio="f"/>
              </v:shape>
            </w:pict>
          </mc:Fallback>
        </mc:AlternateContent>
      </w:r>
      <w:r>
        <w:rPr>
          <w:rFonts w:hint="eastAsia" w:ascii="仿宋_GB2312" w:hAnsi="仿宋_GB2312" w:eastAsia="仿宋_GB2312" w:cs="仿宋_GB2312"/>
          <w:color w:val="000000"/>
          <w:sz w:val="32"/>
          <w:szCs w:val="32"/>
          <w:u w:val="single"/>
          <w:lang w:val="en-US" w:eastAsia="zh-CN"/>
        </w:rPr>
        <w:t>惠湾</w:t>
      </w:r>
      <w:r>
        <w:rPr>
          <w:rFonts w:hint="eastAsia" w:ascii="仿宋_GB2312" w:hAnsi="仿宋_GB2312" w:eastAsia="仿宋_GB2312" w:cs="仿宋_GB2312"/>
          <w:color w:val="000000"/>
          <w:sz w:val="32"/>
          <w:szCs w:val="32"/>
        </w:rPr>
        <w:t>市监</w:t>
      </w:r>
      <w:r>
        <w:rPr>
          <w:rFonts w:hint="eastAsia" w:ascii="仿宋_GB2312" w:hAnsi="仿宋_GB2312" w:eastAsia="仿宋_GB2312" w:cs="仿宋_GB2312"/>
          <w:color w:val="000000"/>
          <w:sz w:val="32"/>
          <w:szCs w:val="32"/>
          <w:u w:val="single"/>
          <w:lang w:val="en-US" w:eastAsia="zh-CN"/>
        </w:rPr>
        <w:t>西处字</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u w:val="single"/>
          <w:lang w:val="en-US" w:eastAsia="zh-CN"/>
        </w:rPr>
        <w:t>2021</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auto"/>
          <w:sz w:val="32"/>
          <w:szCs w:val="32"/>
          <w:u w:val="single"/>
          <w:lang w:val="en-US" w:eastAsia="zh-CN"/>
        </w:rPr>
        <w:t>19</w:t>
      </w:r>
      <w:r>
        <w:rPr>
          <w:rFonts w:hint="eastAsia" w:ascii="仿宋_GB2312" w:hAnsi="仿宋_GB2312" w:eastAsia="仿宋_GB2312" w:cs="仿宋_GB2312"/>
          <w:color w:val="000000"/>
          <w:sz w:val="32"/>
          <w:szCs w:val="32"/>
        </w:rPr>
        <w:t>号</w:t>
      </w:r>
    </w:p>
    <w:p>
      <w:pPr>
        <w:keepNext w:val="0"/>
        <w:keepLines w:val="0"/>
        <w:pageBreakBefore w:val="0"/>
        <w:widowControl w:val="0"/>
        <w:kinsoku/>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1"/>
          <w:sz w:val="32"/>
          <w:szCs w:val="32"/>
        </w:rPr>
        <w:t>当事人：</w:t>
      </w:r>
      <w:r>
        <w:rPr>
          <w:rFonts w:hint="eastAsia" w:ascii="仿宋_GB2312" w:hAnsi="仿宋_GB2312" w:eastAsia="仿宋_GB2312" w:cs="仿宋_GB2312"/>
          <w:bCs/>
          <w:sz w:val="32"/>
          <w:szCs w:val="32"/>
          <w:u w:val="single"/>
          <w:lang w:val="en-US" w:eastAsia="zh-CN"/>
        </w:rPr>
        <w:t>惠州大亚湾杜志豆芽店（经营者：杜志）</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主体资格证照名称：</w:t>
      </w:r>
      <w:r>
        <w:rPr>
          <w:rFonts w:hint="eastAsia" w:ascii="仿宋_GB2312" w:hAnsi="仿宋_GB2312" w:eastAsia="仿宋_GB2312" w:cs="仿宋_GB2312"/>
          <w:kern w:val="1"/>
          <w:sz w:val="32"/>
          <w:szCs w:val="32"/>
          <w:u w:val="single"/>
          <w:lang w:val="en-US" w:eastAsia="zh-CN"/>
        </w:rPr>
        <w:t xml:space="preserve">营业执照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6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统一社会信用代码：</w:t>
      </w:r>
      <w:r>
        <w:rPr>
          <w:rFonts w:hint="eastAsia" w:ascii="仿宋_GB2312" w:hAnsi="仿宋_GB2312" w:eastAsia="仿宋_GB2312" w:cs="仿宋_GB2312"/>
          <w:sz w:val="32"/>
          <w:szCs w:val="32"/>
          <w:u w:val="single"/>
          <w:lang w:val="en-US" w:eastAsia="zh-CN"/>
        </w:rPr>
        <w:fldChar w:fldCharType="begin"/>
      </w:r>
      <w:r>
        <w:rPr>
          <w:rFonts w:hint="eastAsia" w:ascii="仿宋_GB2312" w:hAnsi="仿宋_GB2312" w:eastAsia="仿宋_GB2312" w:cs="仿宋_GB2312"/>
          <w:sz w:val="32"/>
          <w:szCs w:val="32"/>
          <w:u w:val="single"/>
          <w:lang w:val="en-US" w:eastAsia="zh-CN"/>
        </w:rPr>
        <w:instrText xml:space="preserve"> HYPERLINK "http://10.10.1.21:6888/aic/Search/javascript:call('/aic/SearchCorporationTask?service=colligateSearchInterface&amp;sFromSupervision=fromSupSearch&amp;isUseDataCentre=true&amp;entityNo=9ba14b41-0171-1000-e000-5c530a0a0115','惠州大亚湾杜志豆芽店')" </w:instrText>
      </w:r>
      <w:r>
        <w:rPr>
          <w:rFonts w:hint="eastAsia" w:ascii="仿宋_GB2312" w:hAnsi="仿宋_GB2312" w:eastAsia="仿宋_GB2312" w:cs="仿宋_GB2312"/>
          <w:sz w:val="32"/>
          <w:szCs w:val="32"/>
          <w:u w:val="single"/>
          <w:lang w:val="en-US" w:eastAsia="zh-CN"/>
        </w:rPr>
        <w:fldChar w:fldCharType="separate"/>
      </w:r>
      <w:r>
        <w:rPr>
          <w:rFonts w:hint="eastAsia" w:ascii="仿宋_GB2312" w:hAnsi="仿宋_GB2312" w:eastAsia="仿宋_GB2312" w:cs="仿宋_GB2312"/>
          <w:sz w:val="32"/>
          <w:szCs w:val="32"/>
          <w:u w:val="single"/>
          <w:lang w:val="en-US" w:eastAsia="zh-CN"/>
        </w:rPr>
        <w:t>92441300MA54JKJD5U</w:t>
      </w:r>
      <w:r>
        <w:rPr>
          <w:rFonts w:hint="eastAsia" w:ascii="仿宋_GB2312" w:hAnsi="仿宋_GB2312" w:eastAsia="仿宋_GB2312" w:cs="仿宋_GB2312"/>
          <w:sz w:val="32"/>
          <w:szCs w:val="32"/>
          <w:u w:val="single"/>
          <w:lang w:val="en-US" w:eastAsia="zh-CN"/>
        </w:rPr>
        <w:fldChar w:fldCharType="end"/>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lang w:eastAsia="zh-CN"/>
        </w:rPr>
        <w:t>经营者</w:t>
      </w:r>
      <w:r>
        <w:rPr>
          <w:rFonts w:hint="eastAsia" w:ascii="仿宋_GB2312" w:hAnsi="仿宋_GB2312" w:eastAsia="仿宋_GB2312" w:cs="仿宋_GB2312"/>
          <w:kern w:val="1"/>
          <w:sz w:val="32"/>
          <w:szCs w:val="32"/>
        </w:rPr>
        <w:t>：</w:t>
      </w:r>
      <w:r>
        <w:rPr>
          <w:rFonts w:hint="eastAsia" w:ascii="仿宋_GB2312" w:hAnsi="仿宋_GB2312" w:eastAsia="仿宋_GB2312" w:cs="仿宋_GB2312"/>
          <w:bCs/>
          <w:sz w:val="32"/>
          <w:szCs w:val="32"/>
          <w:u w:val="single"/>
          <w:lang w:val="en-US" w:eastAsia="zh-CN"/>
        </w:rPr>
        <w:t>杜志</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u w:val="single"/>
          <w:lang w:val="en-US" w:eastAsia="zh-CN"/>
        </w:rPr>
      </w:pPr>
      <w:bookmarkStart w:id="0" w:name="_GoBack"/>
      <w:bookmarkEnd w:id="0"/>
      <w:r>
        <w:rPr>
          <w:rFonts w:hint="eastAsia" w:ascii="仿宋_GB2312" w:hAnsi="仿宋_GB2312" w:eastAsia="仿宋_GB2312" w:cs="仿宋_GB2312"/>
          <w:sz w:val="32"/>
          <w:szCs w:val="32"/>
          <w:u w:val="single"/>
          <w:lang w:val="en-US" w:eastAsia="zh-CN"/>
        </w:rPr>
        <w:t xml:space="preserve">2020年5月8日，我局依法组织人员对惠州大亚湾杜志豆芽店销售的豆芽（加工日期：2020.5.1）进行抽检，并委托深圳市通量检测科技有限公司对该批次豆芽进行检验。2020年5月21日，我局接到2份深圳市通量检测科技有限公司出具的《检验报告》（No:2005010397、2005010398）。其中《检验报告》（No：2005010398）显示惠州大亚湾杜志豆芽店销售的黄豆芽（加工日期：2020.5.1）4-氯苯氧乙酸钠（以4-氯苯氧乙酸计）含量为0.22mg/kg、6-苄基腺嘌呤（6-BA）含量为8.34μg/kg，指标要求均为不得检出，检验结论为不合格。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2020年5月25日下午，我局执法人员联合大亚湾公安局、西区街道办人员对当事人位于大亚湾西区上田村的豆芽加工坊进行检查并对当事人送达了《检验报告》（No:2005010397、2005010398）及《检验结果告知书》（惠湾市监西检告字〔2020〕2号），检查过程中发现生产场所存放有赤霉酸、头孢氨苄胶囊、111（新产品）、白色不明粉末等物品，当事人承认上述赤霉酸、头孢氨苄胶囊、111（新产品）、白色不明粉末等物品均用于豆芽生产环节，现场有生产</w:t>
      </w:r>
      <w:r>
        <w:rPr>
          <w:rFonts w:hint="eastAsia" w:ascii="仿宋_GB2312" w:hAnsi="仿宋_GB2312" w:eastAsia="仿宋_GB2312" w:cs="仿宋_GB2312"/>
          <w:sz w:val="32"/>
          <w:szCs w:val="32"/>
          <w:u w:val="single"/>
          <w:lang w:val="en-US" w:eastAsia="zh-Hans"/>
        </w:rPr>
        <w:t>待</w:t>
      </w:r>
      <w:r>
        <w:rPr>
          <w:rFonts w:hint="eastAsia" w:ascii="仿宋_GB2312" w:hAnsi="仿宋_GB2312" w:eastAsia="仿宋_GB2312" w:cs="仿宋_GB2312"/>
          <w:sz w:val="32"/>
          <w:szCs w:val="32"/>
          <w:u w:val="single"/>
          <w:lang w:val="en-US" w:eastAsia="zh-CN"/>
        </w:rPr>
        <w:t xml:space="preserve">售的黄豆芽、绿豆芽各500公斤。经领导批准，我局于当日对当事人立案调查，对当事人用于违法生产经营的食品、食品相关产品实施扣押行政强制措施（详见《财物清单》第30号），责令当事人立即停止违法经营行为，并现场再次对当事人生产加工环节的黄豆芽、绿豆芽、绿豆芽（成品）、水进行了抽样，并委托深圳市通量检测科技有限公司对其进行检验。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 xml:space="preserve">因当事人涉嫌生产销售有毒、有害食品的行为的行为构成《中华人民共和国刑法》第一百四十四条的生产、销售有毒、有害食品罪，依据《中华人民共和国行政处罚法》第二十二条、《行政执法机关移送涉嫌犯罪案件的规定》第三条的规定，我局于2020年5月26日将该案移交至大亚湾区公安局侦查处理。2020年11月18日，我局收到大亚湾区人民检察院的《检察建议书》（大亚湾区检行公建〔2020〕3号）、《不起诉决定书》（惠湾检一部刑不诉〔2020〕Z33号），建议我局对当事人生产销售不合格豆芽的违法行为依法予以查处。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后我局</w:t>
      </w:r>
      <w:r>
        <w:rPr>
          <w:rFonts w:hint="eastAsia" w:ascii="仿宋_GB2312" w:hAnsi="仿宋_GB2312" w:eastAsia="仿宋_GB2312" w:cs="仿宋_GB2312"/>
          <w:sz w:val="32"/>
          <w:szCs w:val="32"/>
          <w:u w:val="single"/>
          <w:lang w:val="en-US" w:eastAsia="zh-Hans"/>
        </w:rPr>
        <w:t>于2020年6月10日</w:t>
      </w:r>
      <w:r>
        <w:rPr>
          <w:rFonts w:hint="eastAsia" w:ascii="仿宋_GB2312" w:hAnsi="仿宋_GB2312" w:eastAsia="仿宋_GB2312" w:cs="仿宋_GB2312"/>
          <w:sz w:val="32"/>
          <w:szCs w:val="32"/>
          <w:u w:val="single"/>
          <w:lang w:val="en-US" w:eastAsia="zh-CN"/>
        </w:rPr>
        <w:t xml:space="preserve">收到深圳市通量检测科技有限公司出具的《检验检测报告》（报告编号：2005015644、2005015645、2005015646、2005015647），其中《检验检测报告》（报告编号：2005015644）显示当事人生产的黄豆芽检出4-氯苯氧乙酸钠（以4-氯苯氧乙酸计）含量为9.9mg/kg、6-苄基腺嘌呤（6-BA）含量为534μg/kg，指标要求均为不得检出，检验结论为不合格。其他三份《检验检测报告》（报告编号：2005015645、2005015646、2005015647）均未检出铅、亚硫酸盐、4-氯苯氧乙酸钠、6-苄基腺嘌呤等物质。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经查实，当事人2010年开始在大亚湾区从事豆芽生产、销售活动，期间租赁大亚湾西区上田村一地块搭建工棚用于豆芽生产，租用大亚湾西区上杨鸿达市场散档区3号档位用于销售豆芽。当事人生产的豆芽主要通过批发的方式销往本辖区市场的零售摊档、饭店和大排档，小部分在</w:t>
      </w:r>
      <w:r>
        <w:rPr>
          <w:rFonts w:hint="eastAsia" w:ascii="仿宋_GB2312" w:hAnsi="仿宋_GB2312" w:eastAsia="仿宋_GB2312" w:cs="仿宋_GB2312"/>
          <w:sz w:val="32"/>
          <w:szCs w:val="32"/>
          <w:u w:val="single"/>
          <w:lang w:val="en-US" w:eastAsia="zh-Hans"/>
        </w:rPr>
        <w:t>其</w:t>
      </w:r>
      <w:r>
        <w:rPr>
          <w:rFonts w:hint="eastAsia" w:ascii="仿宋_GB2312" w:hAnsi="仿宋_GB2312" w:eastAsia="仿宋_GB2312" w:cs="仿宋_GB2312"/>
          <w:sz w:val="32"/>
          <w:szCs w:val="32"/>
          <w:u w:val="single"/>
          <w:lang w:val="en-US" w:eastAsia="zh-CN"/>
        </w:rPr>
        <w:t xml:space="preserve">所租档位销售。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又查明，当事人为使豆芽品相好、产量高，于2015年开始在豆芽生产过程中添加头孢氨苄胶囊、赤霉酸、111（新产品）、石灰粉等</w:t>
      </w:r>
      <w:r>
        <w:rPr>
          <w:rFonts w:hint="eastAsia" w:ascii="仿宋_GB2312" w:hAnsi="仿宋_GB2312" w:eastAsia="仿宋_GB2312" w:cs="仿宋_GB2312"/>
          <w:sz w:val="32"/>
          <w:szCs w:val="32"/>
          <w:u w:val="single"/>
          <w:lang w:val="en-US" w:eastAsia="zh-Hans"/>
        </w:rPr>
        <w:t>为非食品添加剂以外的化学物质</w:t>
      </w:r>
      <w:r>
        <w:rPr>
          <w:rFonts w:hint="eastAsia" w:ascii="仿宋_GB2312" w:hAnsi="仿宋_GB2312" w:eastAsia="仿宋_GB2312" w:cs="仿宋_GB2312"/>
          <w:sz w:val="32"/>
          <w:szCs w:val="32"/>
          <w:u w:val="single"/>
          <w:lang w:val="en-US" w:eastAsia="zh-CN"/>
        </w:rPr>
        <w:t>。据当事人陈述，执法人员在其豆芽加工坊查获的白色不明粉末为石灰</w:t>
      </w:r>
      <w:r>
        <w:rPr>
          <w:rFonts w:hint="eastAsia" w:ascii="仿宋_GB2312" w:hAnsi="仿宋_GB2312" w:eastAsia="仿宋_GB2312" w:cs="仿宋_GB2312"/>
          <w:sz w:val="32"/>
          <w:szCs w:val="32"/>
          <w:u w:val="single"/>
          <w:lang w:val="en-US" w:eastAsia="zh-Hans"/>
        </w:rPr>
        <w:t>粉</w:t>
      </w:r>
      <w:r>
        <w:rPr>
          <w:rFonts w:hint="eastAsia" w:ascii="仿宋_GB2312" w:hAnsi="仿宋_GB2312" w:eastAsia="仿宋_GB2312" w:cs="仿宋_GB2312"/>
          <w:sz w:val="32"/>
          <w:szCs w:val="32"/>
          <w:u w:val="single"/>
          <w:lang w:val="en-US" w:eastAsia="zh-CN"/>
        </w:rPr>
        <w:t>，其在清洗豆子的过程中，加入石灰</w:t>
      </w:r>
      <w:r>
        <w:rPr>
          <w:rFonts w:hint="eastAsia" w:ascii="仿宋_GB2312" w:hAnsi="仿宋_GB2312" w:eastAsia="仿宋_GB2312" w:cs="仿宋_GB2312"/>
          <w:sz w:val="32"/>
          <w:szCs w:val="32"/>
          <w:u w:val="single"/>
          <w:lang w:val="en-US" w:eastAsia="zh-Hans"/>
        </w:rPr>
        <w:t>粉</w:t>
      </w:r>
      <w:r>
        <w:rPr>
          <w:rFonts w:hint="eastAsia" w:ascii="仿宋_GB2312" w:hAnsi="仿宋_GB2312" w:eastAsia="仿宋_GB2312" w:cs="仿宋_GB2312"/>
          <w:sz w:val="32"/>
          <w:szCs w:val="32"/>
          <w:u w:val="single"/>
          <w:lang w:val="en-US" w:eastAsia="zh-CN"/>
        </w:rPr>
        <w:t>，清洗干净后，在豆子中添加自来水、赤霉酸、头孢氨苄胶囊、111（新产品）并浸泡2-3小时，而后每隔2-3小时淋水一次，直至长出豆芽成品。当事人的赤霉酸购自惠阳区淡水的农资店；头孢氨苄胶囊购自药店；111（新产品）、石灰</w:t>
      </w:r>
      <w:r>
        <w:rPr>
          <w:rFonts w:hint="eastAsia" w:ascii="仿宋_GB2312" w:hAnsi="仿宋_GB2312" w:eastAsia="仿宋_GB2312" w:cs="仿宋_GB2312"/>
          <w:sz w:val="32"/>
          <w:szCs w:val="32"/>
          <w:u w:val="single"/>
          <w:lang w:val="en-US" w:eastAsia="zh-Hans"/>
        </w:rPr>
        <w:t>粉</w:t>
      </w:r>
      <w:r>
        <w:rPr>
          <w:rFonts w:hint="eastAsia" w:ascii="仿宋_GB2312" w:hAnsi="仿宋_GB2312" w:eastAsia="仿宋_GB2312" w:cs="仿宋_GB2312"/>
          <w:sz w:val="32"/>
          <w:szCs w:val="32"/>
          <w:u w:val="single"/>
          <w:lang w:val="en-US" w:eastAsia="zh-CN"/>
        </w:rPr>
        <w:t xml:space="preserve">、豆子均购自东莞的送货商。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当事人生产该抽检不合格批次黄豆芽</w:t>
      </w:r>
      <w:r>
        <w:rPr>
          <w:rFonts w:hint="eastAsia" w:ascii="仿宋_GB2312" w:hAnsi="仿宋_GB2312" w:eastAsia="仿宋_GB2312" w:cs="仿宋_GB2312"/>
          <w:sz w:val="32"/>
          <w:szCs w:val="32"/>
          <w:u w:val="single"/>
          <w:lang w:val="en-US" w:eastAsia="zh-Hans"/>
        </w:rPr>
        <w:t>（生产日期：2020年5月1日）</w:t>
      </w:r>
      <w:r>
        <w:rPr>
          <w:rFonts w:hint="eastAsia" w:ascii="仿宋_GB2312" w:hAnsi="仿宋_GB2312" w:eastAsia="仿宋_GB2312" w:cs="仿宋_GB2312"/>
          <w:sz w:val="32"/>
          <w:szCs w:val="32"/>
          <w:u w:val="single"/>
          <w:lang w:val="en-US" w:eastAsia="zh-CN"/>
        </w:rPr>
        <w:t>共250公斤。执法人员</w:t>
      </w:r>
      <w:r>
        <w:rPr>
          <w:rFonts w:hint="eastAsia" w:ascii="仿宋_GB2312" w:hAnsi="仿宋_GB2312" w:eastAsia="仿宋_GB2312" w:cs="仿宋_GB2312"/>
          <w:sz w:val="32"/>
          <w:szCs w:val="32"/>
          <w:u w:val="single"/>
          <w:lang w:val="en-US" w:eastAsia="zh-Hans"/>
        </w:rPr>
        <w:t>现场检查时</w:t>
      </w:r>
      <w:r>
        <w:rPr>
          <w:rFonts w:hint="eastAsia" w:ascii="仿宋_GB2312" w:hAnsi="仿宋_GB2312" w:eastAsia="仿宋_GB2312" w:cs="仿宋_GB2312"/>
          <w:sz w:val="32"/>
          <w:szCs w:val="32"/>
          <w:u w:val="single"/>
          <w:lang w:val="en-US" w:eastAsia="zh-CN"/>
        </w:rPr>
        <w:t>共查获黄豆芽、绿豆芽各500公斤（上述黄豆芽、绿豆芽已于2020年5月28日被大亚湾区公安局执法人员联合我局执法人员一同销毁），黄豆芽、绿豆芽的销售价均为2元/公斤，当事人购买了石灰</w:t>
      </w:r>
      <w:r>
        <w:rPr>
          <w:rFonts w:hint="eastAsia" w:ascii="仿宋_GB2312" w:hAnsi="仿宋_GB2312" w:eastAsia="仿宋_GB2312" w:cs="仿宋_GB2312"/>
          <w:sz w:val="32"/>
          <w:szCs w:val="32"/>
          <w:u w:val="single"/>
          <w:lang w:val="en-US" w:eastAsia="zh-Hans"/>
        </w:rPr>
        <w:t>粉</w:t>
      </w:r>
      <w:r>
        <w:rPr>
          <w:rFonts w:hint="eastAsia" w:ascii="仿宋_GB2312" w:hAnsi="仿宋_GB2312" w:eastAsia="仿宋_GB2312" w:cs="仿宋_GB2312"/>
          <w:sz w:val="32"/>
          <w:szCs w:val="32"/>
          <w:u w:val="single"/>
          <w:lang w:val="en-US" w:eastAsia="zh-CN"/>
        </w:rPr>
        <w:t xml:space="preserve">25公斤，购买价是2元/公斤；购买头孢氨苄胶囊5瓶，购买价是10元/瓶；购买赤霉酸5瓶，购买价是15元/瓶；购买111（新产品）100包，购买价是1元/包。经统计，当事人违法生产经营货值金额为7040元。由于当事人账目不全，通过公安局提供的《刑事侦查卷宗》（诉讼证据卷，A4413991200002020050003）107页至111页可确认的违法所得共计4265元。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另查明，当事人</w:t>
      </w:r>
      <w:r>
        <w:rPr>
          <w:rFonts w:hint="eastAsia" w:ascii="仿宋_GB2312" w:hAnsi="仿宋_GB2312" w:eastAsia="仿宋_GB2312" w:cs="仿宋_GB2312"/>
          <w:sz w:val="32"/>
          <w:szCs w:val="32"/>
          <w:u w:val="single"/>
          <w:lang w:val="en-US" w:eastAsia="zh-Hans"/>
        </w:rPr>
        <w:t>于2020年5月1日、25日生产的黄豆芽中均检出</w:t>
      </w:r>
      <w:r>
        <w:rPr>
          <w:rFonts w:hint="eastAsia" w:ascii="仿宋_GB2312" w:hAnsi="仿宋_GB2312" w:eastAsia="仿宋_GB2312" w:cs="仿宋_GB2312"/>
          <w:sz w:val="32"/>
          <w:szCs w:val="32"/>
          <w:u w:val="single"/>
          <w:lang w:val="en-US" w:eastAsia="zh-CN"/>
        </w:rPr>
        <w:t>4-氯苯氧乙酸钠、6-苄基腺嘌呤</w:t>
      </w:r>
      <w:r>
        <w:rPr>
          <w:rFonts w:hint="eastAsia" w:ascii="仿宋_GB2312" w:hAnsi="仿宋_GB2312" w:eastAsia="仿宋_GB2312" w:cs="仿宋_GB2312"/>
          <w:sz w:val="32"/>
          <w:szCs w:val="32"/>
          <w:u w:val="single"/>
          <w:lang w:val="en-US" w:eastAsia="zh-Hans"/>
        </w:rPr>
        <w:t>等物质。</w:t>
      </w:r>
      <w:r>
        <w:rPr>
          <w:rFonts w:hint="eastAsia" w:ascii="仿宋_GB2312" w:hAnsi="仿宋_GB2312" w:eastAsia="仿宋_GB2312" w:cs="仿宋_GB2312"/>
          <w:sz w:val="32"/>
          <w:szCs w:val="32"/>
          <w:u w:val="single"/>
          <w:lang w:val="en-US" w:eastAsia="zh-CN"/>
        </w:rPr>
        <w:t xml:space="preserve">根据《国家食品药品监督管理总局农业部国家卫生和计划生育委员会关于豆芽生产过程中禁止使用6-苄基腺嘌呤等物质的公告》（2015年第11号）规定，豆芽经营者不得经营含有6-苄基腺嘌呤、4-氯苯氧乙酸钠、赤霉素等物质的豆芽。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color w:val="000000"/>
          <w:sz w:val="32"/>
          <w:szCs w:val="32"/>
        </w:rPr>
        <w:t>上述事实，主要有以下证据证明：</w:t>
      </w:r>
      <w:r>
        <w:rPr>
          <w:rFonts w:hint="eastAsia" w:ascii="仿宋_GB2312" w:hAnsi="仿宋_GB2312" w:eastAsia="仿宋_GB2312" w:cs="仿宋_GB2312"/>
          <w:bCs/>
          <w:color w:val="000000"/>
          <w:sz w:val="32"/>
          <w:szCs w:val="32"/>
          <w:u w:val="single"/>
          <w:lang w:val="en-US" w:eastAsia="zh-CN"/>
        </w:rPr>
        <w:t>现场笔录、现场照片、询问笔录、当事人的营业执照、杜志居民身份证复印件各1份、《财物清单》、《检验报告》、《检验检测报告》、《刑事侦查卷宗》等</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Cs/>
          <w:color w:val="000000"/>
          <w:sz w:val="32"/>
          <w:szCs w:val="32"/>
          <w:u w:val="single"/>
          <w:lang w:val="en-US" w:eastAsia="zh-CN"/>
        </w:rPr>
      </w:pPr>
      <w:r>
        <w:rPr>
          <w:rFonts w:hint="eastAsia" w:ascii="仿宋_GB2312" w:hAnsi="仿宋_GB2312" w:eastAsia="仿宋_GB2312" w:cs="仿宋_GB2312"/>
          <w:bCs/>
          <w:color w:val="000000"/>
          <w:sz w:val="32"/>
          <w:szCs w:val="32"/>
          <w:u w:val="single"/>
          <w:lang w:val="en-US" w:eastAsia="zh-CN"/>
        </w:rPr>
        <w:t>当事人自2021年1月28日收到我局送达的《行政处罚听证</w:t>
      </w:r>
      <w:r>
        <w:rPr>
          <w:rFonts w:hint="eastAsia" w:ascii="仿宋_GB2312" w:hAnsi="仿宋_GB2312" w:eastAsia="仿宋_GB2312" w:cs="仿宋_GB2312"/>
          <w:bCs/>
          <w:color w:val="000000"/>
          <w:sz w:val="32"/>
          <w:szCs w:val="32"/>
          <w:u w:val="single"/>
        </w:rPr>
        <w:t>告知书》（惠湾市监西</w:t>
      </w:r>
      <w:r>
        <w:rPr>
          <w:rFonts w:hint="eastAsia" w:ascii="仿宋_GB2312" w:hAnsi="仿宋_GB2312" w:eastAsia="仿宋_GB2312" w:cs="仿宋_GB2312"/>
          <w:bCs/>
          <w:color w:val="000000"/>
          <w:sz w:val="32"/>
          <w:szCs w:val="32"/>
          <w:u w:val="single"/>
          <w:lang w:val="en-US" w:eastAsia="zh-CN"/>
        </w:rPr>
        <w:t>听</w:t>
      </w:r>
      <w:r>
        <w:rPr>
          <w:rFonts w:hint="eastAsia" w:ascii="仿宋_GB2312" w:hAnsi="仿宋_GB2312" w:eastAsia="仿宋_GB2312" w:cs="仿宋_GB2312"/>
          <w:bCs/>
          <w:color w:val="000000"/>
          <w:sz w:val="32"/>
          <w:szCs w:val="32"/>
          <w:u w:val="single"/>
        </w:rPr>
        <w:t>字〔20</w:t>
      </w:r>
      <w:r>
        <w:rPr>
          <w:rFonts w:hint="eastAsia" w:ascii="仿宋_GB2312" w:hAnsi="仿宋_GB2312" w:eastAsia="仿宋_GB2312" w:cs="仿宋_GB2312"/>
          <w:bCs/>
          <w:color w:val="000000"/>
          <w:sz w:val="32"/>
          <w:szCs w:val="32"/>
          <w:u w:val="single"/>
          <w:lang w:val="en-US" w:eastAsia="zh-CN"/>
        </w:rPr>
        <w:t>21</w:t>
      </w:r>
      <w:r>
        <w:rPr>
          <w:rFonts w:hint="eastAsia" w:ascii="仿宋_GB2312" w:hAnsi="仿宋_GB2312" w:eastAsia="仿宋_GB2312" w:cs="仿宋_GB2312"/>
          <w:bCs/>
          <w:color w:val="000000"/>
          <w:sz w:val="32"/>
          <w:szCs w:val="32"/>
          <w:u w:val="single"/>
        </w:rPr>
        <w:t>〕</w:t>
      </w:r>
      <w:r>
        <w:rPr>
          <w:rFonts w:hint="eastAsia" w:ascii="仿宋_GB2312" w:hAnsi="仿宋_GB2312" w:eastAsia="仿宋_GB2312" w:cs="仿宋_GB2312"/>
          <w:bCs/>
          <w:color w:val="000000"/>
          <w:sz w:val="32"/>
          <w:szCs w:val="32"/>
          <w:u w:val="single"/>
          <w:lang w:val="en-US" w:eastAsia="zh-CN"/>
        </w:rPr>
        <w:t>5</w:t>
      </w:r>
      <w:r>
        <w:rPr>
          <w:rFonts w:hint="eastAsia" w:ascii="仿宋_GB2312" w:hAnsi="仿宋_GB2312" w:eastAsia="仿宋_GB2312" w:cs="仿宋_GB2312"/>
          <w:bCs/>
          <w:color w:val="000000"/>
          <w:sz w:val="32"/>
          <w:szCs w:val="32"/>
          <w:u w:val="single"/>
        </w:rPr>
        <w:t>号）后，</w:t>
      </w:r>
      <w:r>
        <w:rPr>
          <w:rFonts w:hint="eastAsia" w:ascii="仿宋_GB2312" w:hAnsi="仿宋_GB2312" w:eastAsia="仿宋_GB2312" w:cs="仿宋_GB2312"/>
          <w:bCs/>
          <w:color w:val="000000"/>
          <w:sz w:val="32"/>
          <w:szCs w:val="32"/>
          <w:u w:val="single"/>
          <w:lang w:eastAsia="zh-CN"/>
        </w:rPr>
        <w:t>法定期限</w:t>
      </w:r>
      <w:r>
        <w:rPr>
          <w:rFonts w:hint="eastAsia" w:ascii="仿宋_GB2312" w:hAnsi="仿宋_GB2312" w:eastAsia="仿宋_GB2312" w:cs="仿宋_GB2312"/>
          <w:bCs/>
          <w:color w:val="000000"/>
          <w:sz w:val="32"/>
          <w:szCs w:val="32"/>
          <w:u w:val="single"/>
        </w:rPr>
        <w:t>内未向我局提</w:t>
      </w:r>
      <w:r>
        <w:rPr>
          <w:rFonts w:hint="eastAsia" w:ascii="仿宋_GB2312" w:hAnsi="仿宋_GB2312" w:eastAsia="仿宋_GB2312" w:cs="仿宋_GB2312"/>
          <w:bCs/>
          <w:color w:val="000000"/>
          <w:sz w:val="32"/>
          <w:szCs w:val="32"/>
          <w:u w:val="single"/>
          <w:lang w:val="en-US" w:eastAsia="zh-CN"/>
        </w:rPr>
        <w:t xml:space="preserve">出陈述、申辩及听证要求。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Cs/>
          <w:color w:val="000000"/>
          <w:sz w:val="32"/>
          <w:szCs w:val="32"/>
          <w:u w:val="single"/>
          <w:lang w:val="en-US" w:eastAsia="zh-CN"/>
        </w:rPr>
      </w:pPr>
      <w:r>
        <w:rPr>
          <w:rFonts w:hint="eastAsia" w:ascii="仿宋_GB2312" w:hAnsi="仿宋_GB2312" w:eastAsia="仿宋_GB2312" w:cs="仿宋_GB2312"/>
          <w:bCs/>
          <w:color w:val="000000"/>
          <w:sz w:val="32"/>
          <w:szCs w:val="32"/>
          <w:u w:val="single"/>
          <w:lang w:val="en-US" w:eastAsia="zh-CN"/>
        </w:rPr>
        <w:t>当事人生产销售不符合食品安全标准食品的行为，违反了《中华人民共和国食品安全法》第三十四条第一项，即</w:t>
      </w:r>
      <w:r>
        <w:rPr>
          <w:rFonts w:hint="eastAsia" w:ascii="Times New Roman" w:hAnsi="Times New Roman" w:eastAsia="仿宋_GB2312" w:cs="仿宋_GB2312"/>
          <w:kern w:val="2"/>
          <w:sz w:val="32"/>
          <w:szCs w:val="32"/>
          <w:u w:val="single"/>
          <w:lang w:val="en-US" w:eastAsia="zh-CN" w:bidi="ar-SA"/>
        </w:rPr>
        <w:t>“禁止生产经营下列食品、食品添加剂、食品相关产品：（一）用非食品原料生产的食品或者添加食品添加剂以外的化学物质和其他可能危害人体健康物质的食品，或者用回收食品作为原料生产的食品；”</w:t>
      </w:r>
      <w:r>
        <w:rPr>
          <w:rFonts w:hint="eastAsia" w:ascii="仿宋_GB2312" w:hAnsi="仿宋_GB2312" w:eastAsia="仿宋_GB2312" w:cs="仿宋_GB2312"/>
          <w:bCs/>
          <w:color w:val="000000"/>
          <w:sz w:val="32"/>
          <w:szCs w:val="32"/>
          <w:u w:val="single"/>
          <w:lang w:val="en-US" w:eastAsia="zh-CN"/>
        </w:rPr>
        <w:t>的规定，现依据《中华人民共和国食品安全法》第一百二十三条第一款第一项，</w:t>
      </w:r>
      <w:r>
        <w:rPr>
          <w:rFonts w:hint="eastAsia" w:ascii="仿宋" w:hAnsi="仿宋" w:eastAsia="仿宋" w:cs="仿宋_GB2312"/>
          <w:bCs/>
          <w:kern w:val="2"/>
          <w:sz w:val="32"/>
          <w:szCs w:val="32"/>
          <w:u w:val="single"/>
          <w:lang w:val="en-US" w:eastAsia="zh-CN" w:bidi="ar-SA"/>
        </w:rPr>
        <w:t>即“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并处货值金额十五倍以上三十倍以下罚款；情节严重的，吊销许可证，并可以由公安机关对其直接负责的主管人员和其他直接责任人员处五日以上十五日以下拘留：（一）用非食品原料生产食品、在食品中添加食品添加剂以外的化学物质和其他可能危害人体健康的物质，或者用回收食品作为原料生产食品，或者经营上述食品；”</w:t>
      </w:r>
      <w:r>
        <w:rPr>
          <w:rFonts w:hint="eastAsia" w:ascii="仿宋_GB2312" w:hAnsi="仿宋_GB2312" w:eastAsia="仿宋_GB2312" w:cs="仿宋_GB2312"/>
          <w:bCs/>
          <w:color w:val="000000"/>
          <w:sz w:val="32"/>
          <w:szCs w:val="32"/>
          <w:u w:val="single"/>
          <w:lang w:val="en-US" w:eastAsia="zh-CN"/>
        </w:rPr>
        <w:t>、《中华人民共和国行政处罚法》第二十三条，</w:t>
      </w:r>
      <w:r>
        <w:rPr>
          <w:rFonts w:hint="eastAsia" w:ascii="仿宋" w:hAnsi="仿宋" w:eastAsia="仿宋" w:cs="仿宋_GB2312"/>
          <w:bCs/>
          <w:sz w:val="32"/>
          <w:szCs w:val="32"/>
          <w:u w:val="single"/>
          <w:lang w:val="en-US" w:eastAsia="zh-CN"/>
        </w:rPr>
        <w:t>即“</w:t>
      </w:r>
      <w:r>
        <w:rPr>
          <w:rFonts w:hint="default" w:ascii="仿宋" w:hAnsi="仿宋" w:eastAsia="仿宋" w:cs="仿宋_GB2312"/>
          <w:bCs/>
          <w:sz w:val="32"/>
          <w:szCs w:val="32"/>
          <w:u w:val="single"/>
          <w:lang w:val="en-US" w:eastAsia="zh-CN"/>
        </w:rPr>
        <w:t>行政机关实施行政处罚时，应当责令当事人改正或者限期改正违法行为。</w:t>
      </w:r>
      <w:r>
        <w:rPr>
          <w:rFonts w:hint="eastAsia" w:ascii="仿宋" w:hAnsi="仿宋" w:eastAsia="仿宋" w:cs="仿宋_GB2312"/>
          <w:bCs/>
          <w:sz w:val="32"/>
          <w:szCs w:val="32"/>
          <w:u w:val="single"/>
          <w:lang w:val="en-US" w:eastAsia="zh-CN"/>
        </w:rPr>
        <w:t>”</w:t>
      </w:r>
      <w:r>
        <w:rPr>
          <w:rFonts w:hint="eastAsia" w:ascii="仿宋_GB2312" w:hAnsi="仿宋_GB2312" w:eastAsia="仿宋_GB2312" w:cs="仿宋_GB2312"/>
          <w:bCs/>
          <w:color w:val="000000"/>
          <w:sz w:val="32"/>
          <w:szCs w:val="32"/>
          <w:u w:val="single"/>
          <w:lang w:val="en-US" w:eastAsia="zh-CN"/>
        </w:rPr>
        <w:t xml:space="preserve">的规定，责令当事人立即违法经营，消除影响，并决定对当事人作出以下行政处罚：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Cs/>
          <w:color w:val="000000"/>
          <w:sz w:val="32"/>
          <w:szCs w:val="32"/>
          <w:u w:val="single"/>
          <w:lang w:val="en-US" w:eastAsia="zh-CN"/>
        </w:rPr>
      </w:pPr>
      <w:r>
        <w:rPr>
          <w:rFonts w:hint="eastAsia" w:ascii="仿宋_GB2312" w:hAnsi="仿宋_GB2312" w:eastAsia="仿宋_GB2312" w:cs="仿宋_GB2312"/>
          <w:bCs/>
          <w:color w:val="000000"/>
          <w:sz w:val="32"/>
          <w:szCs w:val="32"/>
          <w:u w:val="single"/>
          <w:lang w:val="en-US" w:eastAsia="zh-CN"/>
        </w:rPr>
        <w:t xml:space="preserve">一、罚款人民币壹拾贰万元整（¥120000.00）；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Cs/>
          <w:color w:val="000000"/>
          <w:sz w:val="32"/>
          <w:szCs w:val="32"/>
          <w:u w:val="single"/>
          <w:lang w:val="en-US" w:eastAsia="zh-CN"/>
        </w:rPr>
      </w:pPr>
      <w:r>
        <w:rPr>
          <w:rFonts w:hint="eastAsia" w:ascii="仿宋_GB2312" w:hAnsi="仿宋_GB2312" w:eastAsia="仿宋_GB2312" w:cs="仿宋_GB2312"/>
          <w:bCs/>
          <w:color w:val="000000"/>
          <w:sz w:val="32"/>
          <w:szCs w:val="32"/>
          <w:u w:val="single"/>
          <w:lang w:val="en-US" w:eastAsia="zh-CN"/>
        </w:rPr>
        <w:t xml:space="preserve">二、没收违法所得肆仟贰佰陆拾伍元整（¥4265.00）；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Cs/>
          <w:color w:val="000000"/>
          <w:sz w:val="32"/>
          <w:szCs w:val="32"/>
          <w:u w:val="single"/>
          <w:lang w:val="en-US" w:eastAsia="zh-CN"/>
        </w:rPr>
      </w:pPr>
      <w:r>
        <w:rPr>
          <w:rFonts w:hint="eastAsia" w:ascii="仿宋_GB2312" w:hAnsi="仿宋_GB2312" w:eastAsia="仿宋_GB2312" w:cs="仿宋_GB2312"/>
          <w:bCs/>
          <w:color w:val="000000"/>
          <w:sz w:val="32"/>
          <w:szCs w:val="32"/>
          <w:u w:val="single"/>
          <w:lang w:val="en-US" w:eastAsia="zh-CN"/>
        </w:rPr>
        <w:t>三、没收当事人用于违法经营活动的物品</w:t>
      </w:r>
      <w:r>
        <w:rPr>
          <w:rFonts w:hint="eastAsia" w:ascii="仿宋_GB2312" w:hAnsi="仿宋_GB2312" w:eastAsia="仿宋_GB2312" w:cs="仿宋_GB2312"/>
          <w:bCs/>
          <w:color w:val="000000"/>
          <w:sz w:val="32"/>
          <w:szCs w:val="32"/>
          <w:u w:val="single"/>
          <w:lang w:val="en-US" w:eastAsia="zh-Hans"/>
        </w:rPr>
        <w:t>（</w:t>
      </w:r>
      <w:r>
        <w:rPr>
          <w:rFonts w:hint="eastAsia" w:ascii="仿宋_GB2312" w:hAnsi="仿宋_GB2312" w:eastAsia="仿宋_GB2312" w:cs="仿宋_GB2312"/>
          <w:bCs/>
          <w:color w:val="000000"/>
          <w:sz w:val="32"/>
          <w:szCs w:val="32"/>
          <w:u w:val="single"/>
          <w:lang w:val="en-US" w:eastAsia="zh-CN"/>
        </w:rPr>
        <w:t>详见</w:t>
      </w:r>
      <w:r>
        <w:rPr>
          <w:rFonts w:hint="eastAsia" w:ascii="仿宋_GB2312" w:hAnsi="仿宋_GB2312" w:eastAsia="仿宋_GB2312" w:cs="仿宋_GB2312"/>
          <w:bCs/>
          <w:color w:val="000000"/>
          <w:sz w:val="32"/>
          <w:szCs w:val="32"/>
          <w:u w:val="single"/>
          <w:lang w:val="en-US" w:eastAsia="zh-Hans"/>
        </w:rPr>
        <w:t>《财物清单》第30号）</w:t>
      </w:r>
      <w:r>
        <w:rPr>
          <w:rFonts w:hint="eastAsia" w:ascii="仿宋_GB2312" w:hAnsi="仿宋_GB2312" w:eastAsia="仿宋_GB2312" w:cs="仿宋_GB2312"/>
          <w:bCs/>
          <w:color w:val="000000"/>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bCs/>
          <w:color w:val="000000"/>
          <w:sz w:val="32"/>
          <w:szCs w:val="32"/>
          <w:u w:val="single"/>
          <w:lang w:val="en-US" w:eastAsia="zh-CN"/>
        </w:rPr>
        <w:t>当事人应当自收到本行政处罚决定书之日起十五日内</w:t>
      </w:r>
      <w:r>
        <w:rPr>
          <w:rFonts w:hint="eastAsia" w:ascii="仿宋_GB2312" w:hAnsi="仿宋_GB2312" w:eastAsia="仿宋_GB2312" w:cs="仿宋_GB2312"/>
          <w:bCs/>
          <w:color w:val="000000"/>
          <w:sz w:val="32"/>
          <w:szCs w:val="32"/>
          <w:u w:val="single"/>
        </w:rPr>
        <w:t>，到惠州大亚湾</w:t>
      </w:r>
      <w:r>
        <w:rPr>
          <w:rFonts w:hint="eastAsia" w:ascii="仿宋_GB2312" w:hAnsi="仿宋_GB2312" w:eastAsia="仿宋_GB2312" w:cs="仿宋_GB2312"/>
          <w:bCs/>
          <w:color w:val="000000"/>
          <w:sz w:val="32"/>
          <w:szCs w:val="32"/>
          <w:u w:val="single"/>
          <w:lang w:val="en-US" w:eastAsia="zh-CN"/>
        </w:rPr>
        <w:t>的中国银行、</w:t>
      </w:r>
      <w:r>
        <w:rPr>
          <w:rFonts w:hint="eastAsia" w:ascii="仿宋_GB2312" w:hAnsi="仿宋_GB2312" w:eastAsia="仿宋_GB2312" w:cs="仿宋_GB2312"/>
          <w:bCs/>
          <w:color w:val="000000"/>
          <w:sz w:val="32"/>
          <w:szCs w:val="32"/>
          <w:u w:val="single"/>
        </w:rPr>
        <w:t>建设银行、工商银行、农业银行</w:t>
      </w:r>
      <w:r>
        <w:rPr>
          <w:rFonts w:hint="eastAsia" w:ascii="仿宋_GB2312" w:hAnsi="仿宋_GB2312" w:eastAsia="仿宋_GB2312" w:cs="仿宋_GB2312"/>
          <w:bCs/>
          <w:color w:val="000000"/>
          <w:sz w:val="32"/>
          <w:szCs w:val="32"/>
          <w:u w:val="single"/>
          <w:lang w:eastAsia="zh-CN"/>
        </w:rPr>
        <w:t>、</w:t>
      </w:r>
      <w:r>
        <w:rPr>
          <w:rFonts w:hint="eastAsia" w:ascii="仿宋_GB2312" w:hAnsi="仿宋_GB2312" w:eastAsia="仿宋_GB2312" w:cs="仿宋_GB2312"/>
          <w:bCs/>
          <w:color w:val="000000"/>
          <w:sz w:val="32"/>
          <w:szCs w:val="32"/>
          <w:u w:val="single"/>
          <w:lang w:val="en-US" w:eastAsia="zh-CN"/>
        </w:rPr>
        <w:t>农村商业银行的其中</w:t>
      </w:r>
      <w:r>
        <w:rPr>
          <w:rFonts w:hint="eastAsia" w:ascii="仿宋_GB2312" w:hAnsi="仿宋_GB2312" w:eastAsia="仿宋_GB2312" w:cs="仿宋_GB2312"/>
          <w:bCs/>
          <w:color w:val="000000"/>
          <w:sz w:val="32"/>
          <w:szCs w:val="32"/>
          <w:u w:val="single"/>
        </w:rPr>
        <w:t>一间银行缴纳罚款，或者使用大亚湾区市场监督管理局的POS机刷卡缴纳罚款。</w:t>
      </w:r>
      <w:r>
        <w:rPr>
          <w:rFonts w:hint="eastAsia" w:ascii="仿宋_GB2312" w:hAnsi="仿宋_GB2312" w:eastAsia="仿宋_GB2312" w:cs="仿宋_GB2312"/>
          <w:bCs/>
          <w:color w:val="000000"/>
          <w:sz w:val="32"/>
          <w:szCs w:val="32"/>
          <w:u w:val="single"/>
          <w:lang w:val="en-US" w:eastAsia="zh-CN"/>
        </w:rPr>
        <w:t>到期</w:t>
      </w:r>
      <w:r>
        <w:rPr>
          <w:rFonts w:hint="eastAsia" w:ascii="仿宋_GB2312" w:hAnsi="仿宋_GB2312" w:eastAsia="仿宋_GB2312" w:cs="仿宋_GB2312"/>
          <w:bCs/>
          <w:color w:val="000000"/>
          <w:sz w:val="32"/>
          <w:szCs w:val="32"/>
          <w:u w:val="single"/>
        </w:rPr>
        <w:t>不缴纳罚款的，</w:t>
      </w:r>
      <w:r>
        <w:rPr>
          <w:rFonts w:hint="eastAsia" w:ascii="仿宋_GB2312" w:hAnsi="仿宋_GB2312" w:eastAsia="仿宋_GB2312" w:cs="仿宋_GB2312"/>
          <w:bCs/>
          <w:color w:val="000000"/>
          <w:sz w:val="32"/>
          <w:szCs w:val="32"/>
          <w:u w:val="single"/>
          <w:lang w:val="en-US" w:eastAsia="zh-CN"/>
        </w:rPr>
        <w:t>依</w:t>
      </w:r>
      <w:r>
        <w:rPr>
          <w:rFonts w:hint="eastAsia" w:ascii="仿宋_GB2312" w:hAnsi="仿宋_GB2312" w:eastAsia="仿宋_GB2312" w:cs="仿宋_GB2312"/>
          <w:bCs/>
          <w:color w:val="000000"/>
          <w:sz w:val="32"/>
          <w:szCs w:val="32"/>
          <w:u w:val="single"/>
        </w:rPr>
        <w:t>据《中华人民共和国行政处罚法》第五十一条的规定，</w:t>
      </w:r>
      <w:r>
        <w:rPr>
          <w:rFonts w:hint="eastAsia" w:ascii="仿宋_GB2312" w:hAnsi="仿宋_GB2312" w:eastAsia="仿宋_GB2312" w:cs="仿宋_GB2312"/>
          <w:bCs/>
          <w:color w:val="000000"/>
          <w:sz w:val="32"/>
          <w:szCs w:val="32"/>
          <w:u w:val="single"/>
          <w:lang w:val="en-US" w:eastAsia="zh-CN"/>
        </w:rPr>
        <w:t>本局将</w:t>
      </w:r>
      <w:r>
        <w:rPr>
          <w:rFonts w:hint="eastAsia" w:ascii="仿宋_GB2312" w:hAnsi="仿宋_GB2312" w:eastAsia="仿宋_GB2312" w:cs="仿宋_GB2312"/>
          <w:bCs/>
          <w:color w:val="000000"/>
          <w:sz w:val="32"/>
          <w:szCs w:val="32"/>
          <w:u w:val="single"/>
        </w:rPr>
        <w:t>每日按罚款数额的</w:t>
      </w:r>
      <w:r>
        <w:rPr>
          <w:rFonts w:hint="eastAsia" w:ascii="仿宋_GB2312" w:hAnsi="仿宋_GB2312" w:eastAsia="仿宋_GB2312" w:cs="仿宋_GB2312"/>
          <w:bCs/>
          <w:color w:val="000000"/>
          <w:sz w:val="32"/>
          <w:szCs w:val="32"/>
          <w:u w:val="single"/>
          <w:lang w:val="en-US" w:eastAsia="zh-CN"/>
        </w:rPr>
        <w:t>百分之三</w:t>
      </w:r>
      <w:r>
        <w:rPr>
          <w:rFonts w:hint="eastAsia" w:ascii="仿宋_GB2312" w:hAnsi="仿宋_GB2312" w:eastAsia="仿宋_GB2312" w:cs="仿宋_GB2312"/>
          <w:bCs/>
          <w:color w:val="000000"/>
          <w:sz w:val="32"/>
          <w:szCs w:val="32"/>
          <w:u w:val="single"/>
        </w:rPr>
        <w:t xml:space="preserve">加处罚款，并依法申请人民法院强制执行。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Cs/>
          <w:color w:val="000000"/>
          <w:sz w:val="32"/>
          <w:szCs w:val="32"/>
          <w:u w:val="single"/>
        </w:rPr>
        <w:t>如不服本</w:t>
      </w:r>
      <w:r>
        <w:rPr>
          <w:rFonts w:hint="eastAsia" w:ascii="仿宋_GB2312" w:hAnsi="仿宋_GB2312" w:eastAsia="仿宋_GB2312" w:cs="仿宋_GB2312"/>
          <w:bCs/>
          <w:color w:val="000000"/>
          <w:sz w:val="32"/>
          <w:szCs w:val="32"/>
          <w:u w:val="single"/>
          <w:lang w:val="en-US" w:eastAsia="zh-CN"/>
        </w:rPr>
        <w:t>行政</w:t>
      </w:r>
      <w:r>
        <w:rPr>
          <w:rFonts w:hint="eastAsia" w:ascii="仿宋_GB2312" w:hAnsi="仿宋_GB2312" w:eastAsia="仿宋_GB2312" w:cs="仿宋_GB2312"/>
          <w:bCs/>
          <w:color w:val="000000"/>
          <w:sz w:val="32"/>
          <w:szCs w:val="32"/>
          <w:u w:val="single"/>
        </w:rPr>
        <w:t>处罚决定，</w:t>
      </w:r>
      <w:r>
        <w:rPr>
          <w:rFonts w:hint="eastAsia" w:ascii="仿宋_GB2312" w:hAnsi="仿宋_GB2312" w:eastAsia="仿宋_GB2312" w:cs="仿宋_GB2312"/>
          <w:bCs/>
          <w:color w:val="000000"/>
          <w:sz w:val="32"/>
          <w:szCs w:val="32"/>
          <w:u w:val="single"/>
          <w:lang w:val="en-US" w:eastAsia="zh-CN"/>
        </w:rPr>
        <w:t>可以</w:t>
      </w:r>
      <w:r>
        <w:rPr>
          <w:rFonts w:hint="eastAsia" w:ascii="仿宋_GB2312" w:hAnsi="仿宋_GB2312" w:eastAsia="仿宋_GB2312" w:cs="仿宋_GB2312"/>
          <w:bCs/>
          <w:color w:val="000000"/>
          <w:sz w:val="32"/>
          <w:szCs w:val="32"/>
          <w:u w:val="single"/>
        </w:rPr>
        <w:t>在</w:t>
      </w:r>
      <w:r>
        <w:rPr>
          <w:rFonts w:hint="eastAsia" w:ascii="仿宋_GB2312" w:hAnsi="仿宋_GB2312" w:eastAsia="仿宋_GB2312" w:cs="仿宋_GB2312"/>
          <w:bCs/>
          <w:color w:val="000000"/>
          <w:sz w:val="32"/>
          <w:szCs w:val="32"/>
          <w:u w:val="single"/>
          <w:lang w:val="en-US" w:eastAsia="zh-CN"/>
        </w:rPr>
        <w:t>收</w:t>
      </w:r>
      <w:r>
        <w:rPr>
          <w:rFonts w:hint="eastAsia" w:ascii="仿宋_GB2312" w:hAnsi="仿宋_GB2312" w:eastAsia="仿宋_GB2312" w:cs="仿宋_GB2312"/>
          <w:bCs/>
          <w:color w:val="000000"/>
          <w:sz w:val="32"/>
          <w:szCs w:val="32"/>
          <w:u w:val="single"/>
        </w:rPr>
        <w:t>到本</w:t>
      </w:r>
      <w:r>
        <w:rPr>
          <w:rFonts w:hint="eastAsia" w:ascii="仿宋_GB2312" w:hAnsi="仿宋_GB2312" w:eastAsia="仿宋_GB2312" w:cs="仿宋_GB2312"/>
          <w:bCs/>
          <w:color w:val="000000"/>
          <w:sz w:val="32"/>
          <w:szCs w:val="32"/>
          <w:u w:val="single"/>
          <w:lang w:val="en-US" w:eastAsia="zh-CN"/>
        </w:rPr>
        <w:t>行政</w:t>
      </w:r>
      <w:r>
        <w:rPr>
          <w:rFonts w:hint="eastAsia" w:ascii="仿宋_GB2312" w:hAnsi="仿宋_GB2312" w:eastAsia="仿宋_GB2312" w:cs="仿宋_GB2312"/>
          <w:bCs/>
          <w:color w:val="000000"/>
          <w:sz w:val="32"/>
          <w:szCs w:val="32"/>
          <w:u w:val="single"/>
        </w:rPr>
        <w:t>处罚决定书之日起</w:t>
      </w:r>
      <w:r>
        <w:rPr>
          <w:rFonts w:hint="eastAsia" w:ascii="仿宋_GB2312" w:hAnsi="仿宋_GB2312" w:eastAsia="仿宋_GB2312" w:cs="仿宋_GB2312"/>
          <w:bCs/>
          <w:color w:val="000000"/>
          <w:sz w:val="32"/>
          <w:szCs w:val="32"/>
          <w:u w:val="single"/>
          <w:lang w:val="en-US" w:eastAsia="zh-CN"/>
        </w:rPr>
        <w:t>六十</w:t>
      </w:r>
      <w:r>
        <w:rPr>
          <w:rFonts w:hint="eastAsia" w:ascii="仿宋_GB2312" w:hAnsi="仿宋_GB2312" w:eastAsia="仿宋_GB2312" w:cs="仿宋_GB2312"/>
          <w:bCs/>
          <w:color w:val="000000"/>
          <w:sz w:val="32"/>
          <w:szCs w:val="32"/>
          <w:u w:val="single"/>
        </w:rPr>
        <w:t>日内向惠州大亚湾经济技术开发区管理委员会</w:t>
      </w:r>
      <w:r>
        <w:rPr>
          <w:rFonts w:hint="eastAsia" w:ascii="仿宋_GB2312" w:hAnsi="仿宋_GB2312" w:eastAsia="仿宋_GB2312" w:cs="仿宋_GB2312"/>
          <w:bCs/>
          <w:color w:val="000000"/>
          <w:sz w:val="32"/>
          <w:szCs w:val="32"/>
          <w:u w:val="single"/>
          <w:lang w:val="en-US" w:eastAsia="zh-CN"/>
        </w:rPr>
        <w:t>或者</w:t>
      </w:r>
      <w:r>
        <w:rPr>
          <w:rFonts w:hint="eastAsia" w:ascii="仿宋_GB2312" w:hAnsi="仿宋_GB2312" w:eastAsia="仿宋_GB2312" w:cs="仿宋_GB2312"/>
          <w:bCs/>
          <w:color w:val="000000"/>
          <w:sz w:val="32"/>
          <w:szCs w:val="32"/>
          <w:u w:val="single"/>
        </w:rPr>
        <w:t>惠州市市场监督管理局申请行政复议</w:t>
      </w:r>
      <w:r>
        <w:rPr>
          <w:rFonts w:hint="eastAsia" w:ascii="仿宋_GB2312" w:hAnsi="仿宋_GB2312" w:eastAsia="仿宋_GB2312" w:cs="仿宋_GB2312"/>
          <w:bCs/>
          <w:color w:val="000000"/>
          <w:sz w:val="32"/>
          <w:szCs w:val="32"/>
          <w:u w:val="single"/>
          <w:lang w:eastAsia="zh-CN"/>
        </w:rPr>
        <w:t>；</w:t>
      </w:r>
      <w:r>
        <w:rPr>
          <w:rFonts w:hint="eastAsia" w:ascii="仿宋_GB2312" w:hAnsi="仿宋_GB2312" w:eastAsia="仿宋_GB2312" w:cs="仿宋_GB2312"/>
          <w:bCs/>
          <w:color w:val="000000"/>
          <w:sz w:val="32"/>
          <w:szCs w:val="32"/>
          <w:u w:val="single"/>
        </w:rPr>
        <w:t>也</w:t>
      </w:r>
      <w:r>
        <w:rPr>
          <w:rFonts w:hint="eastAsia" w:ascii="仿宋_GB2312" w:hAnsi="仿宋_GB2312" w:eastAsia="仿宋_GB2312" w:cs="仿宋_GB2312"/>
          <w:bCs/>
          <w:color w:val="000000"/>
          <w:sz w:val="32"/>
          <w:szCs w:val="32"/>
          <w:u w:val="single"/>
          <w:lang w:val="en-US" w:eastAsia="zh-CN"/>
        </w:rPr>
        <w:t>可以在六</w:t>
      </w:r>
      <w:r>
        <w:rPr>
          <w:rFonts w:hint="eastAsia" w:ascii="仿宋_GB2312" w:hAnsi="仿宋_GB2312" w:eastAsia="仿宋_GB2312" w:cs="仿宋_GB2312"/>
          <w:bCs/>
          <w:color w:val="000000"/>
          <w:sz w:val="32"/>
          <w:szCs w:val="32"/>
          <w:u w:val="single"/>
        </w:rPr>
        <w:t>个月内</w:t>
      </w:r>
      <w:r>
        <w:rPr>
          <w:rFonts w:hint="eastAsia" w:ascii="仿宋_GB2312" w:hAnsi="仿宋_GB2312" w:eastAsia="仿宋_GB2312" w:cs="仿宋_GB2312"/>
          <w:bCs/>
          <w:color w:val="000000"/>
          <w:sz w:val="32"/>
          <w:szCs w:val="32"/>
          <w:u w:val="single"/>
          <w:lang w:val="en-US" w:eastAsia="zh-CN"/>
        </w:rPr>
        <w:t>依法</w:t>
      </w:r>
      <w:r>
        <w:rPr>
          <w:rFonts w:hint="eastAsia" w:ascii="仿宋_GB2312" w:hAnsi="仿宋_GB2312" w:eastAsia="仿宋_GB2312" w:cs="仿宋_GB2312"/>
          <w:bCs/>
          <w:color w:val="000000"/>
          <w:sz w:val="32"/>
          <w:szCs w:val="32"/>
          <w:u w:val="single"/>
        </w:rPr>
        <w:t>向博罗县人民法院提起行政诉讼。</w:t>
      </w:r>
      <w:r>
        <w:rPr>
          <w:rFonts w:hint="eastAsia" w:ascii="仿宋_GB2312" w:hAnsi="仿宋_GB2312" w:eastAsia="仿宋_GB2312" w:cs="仿宋_GB2312"/>
          <w:bCs/>
          <w:color w:val="000000"/>
          <w:sz w:val="32"/>
          <w:szCs w:val="32"/>
          <w:u w:val="single"/>
          <w:lang w:val="en-US" w:eastAsia="zh-CN"/>
        </w:rPr>
        <w:t>申请行政复议或者提起行政诉讼期间，行政处罚不停止执行。</w:t>
      </w:r>
      <w:r>
        <w:rPr>
          <w:rFonts w:hint="eastAsia" w:ascii="仿宋_GB2312" w:hAnsi="仿宋_GB2312" w:eastAsia="仿宋_GB2312" w:cs="仿宋_GB2312"/>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firstLine="601"/>
        <w:jc w:val="center"/>
        <w:textAlignment w:val="auto"/>
        <w:rPr>
          <w:rFonts w:hint="eastAsia" w:ascii="仿宋_GB2312" w:hAnsi="仿宋_GB2312" w:eastAsia="仿宋_GB2312" w:cs="仿宋_GB2312"/>
          <w:color w:val="000000"/>
          <w:sz w:val="32"/>
          <w:szCs w:val="32"/>
          <w:u w:val="none"/>
          <w:lang w:val="en-US" w:eastAsia="zh-CN"/>
        </w:rPr>
      </w:pPr>
      <w:r>
        <w:rPr>
          <w:rFonts w:hint="eastAsia" w:ascii="仿宋_GB2312" w:hAnsi="仿宋_GB2312" w:eastAsia="仿宋_GB2312" w:cs="仿宋_GB2312"/>
          <w:color w:val="000000"/>
          <w:sz w:val="32"/>
          <w:szCs w:val="32"/>
          <w:u w:val="none"/>
        </w:rPr>
        <w:t xml:space="preserve">           </w:t>
      </w:r>
      <w:r>
        <w:rPr>
          <w:rFonts w:hint="eastAsia" w:ascii="仿宋_GB2312" w:hAnsi="仿宋_GB2312" w:eastAsia="仿宋_GB2312" w:cs="仿宋_GB2312"/>
          <w:color w:val="000000"/>
          <w:sz w:val="32"/>
          <w:szCs w:val="32"/>
          <w:u w:val="none"/>
          <w:lang w:val="en-US" w:eastAsia="zh-CN"/>
        </w:rPr>
        <w:t xml:space="preserve">  </w:t>
      </w:r>
    </w:p>
    <w:p>
      <w:pPr>
        <w:keepNext w:val="0"/>
        <w:keepLines w:val="0"/>
        <w:pageBreakBefore w:val="0"/>
        <w:widowControl w:val="0"/>
        <w:kinsoku/>
        <w:overflowPunct/>
        <w:topLinePunct w:val="0"/>
        <w:autoSpaceDE/>
        <w:autoSpaceDN/>
        <w:bidi w:val="0"/>
        <w:adjustRightInd/>
        <w:spacing w:line="560" w:lineRule="exact"/>
        <w:ind w:firstLine="601"/>
        <w:jc w:val="center"/>
        <w:textAlignment w:val="auto"/>
        <w:rPr>
          <w:rFonts w:hint="eastAsia" w:ascii="仿宋_GB2312" w:hAnsi="仿宋_GB2312" w:eastAsia="仿宋_GB2312" w:cs="仿宋_GB2312"/>
          <w:color w:val="000000"/>
          <w:sz w:val="32"/>
          <w:szCs w:val="32"/>
          <w:u w:val="none"/>
          <w:lang w:val="en-US" w:eastAsia="zh-CN"/>
        </w:rPr>
      </w:pPr>
    </w:p>
    <w:p>
      <w:pPr>
        <w:keepNext w:val="0"/>
        <w:keepLines w:val="0"/>
        <w:pageBreakBefore w:val="0"/>
        <w:widowControl w:val="0"/>
        <w:kinsoku/>
        <w:overflowPunct/>
        <w:topLinePunct w:val="0"/>
        <w:autoSpaceDE/>
        <w:autoSpaceDN/>
        <w:bidi w:val="0"/>
        <w:adjustRightInd/>
        <w:spacing w:line="560" w:lineRule="exact"/>
        <w:ind w:firstLine="601"/>
        <w:jc w:val="center"/>
        <w:textAlignment w:val="auto"/>
        <w:rPr>
          <w:rFonts w:hint="eastAsia" w:ascii="仿宋_GB2312" w:hAnsi="仿宋_GB2312" w:eastAsia="仿宋_GB2312" w:cs="仿宋_GB2312"/>
          <w:color w:val="000000"/>
          <w:sz w:val="32"/>
          <w:szCs w:val="32"/>
          <w:u w:val="none"/>
          <w:lang w:val="en-US" w:eastAsia="zh-CN"/>
        </w:rPr>
      </w:pPr>
    </w:p>
    <w:p>
      <w:pPr>
        <w:keepNext w:val="0"/>
        <w:keepLines w:val="0"/>
        <w:pageBreakBefore w:val="0"/>
        <w:widowControl w:val="0"/>
        <w:kinsoku/>
        <w:overflowPunct/>
        <w:topLinePunct w:val="0"/>
        <w:autoSpaceDE/>
        <w:autoSpaceDN/>
        <w:bidi w:val="0"/>
        <w:adjustRightInd/>
        <w:spacing w:line="560" w:lineRule="exact"/>
        <w:ind w:firstLine="601"/>
        <w:jc w:val="center"/>
        <w:textAlignment w:val="auto"/>
        <w:rPr>
          <w:rFonts w:hint="eastAsia" w:ascii="仿宋_GB2312" w:hAnsi="仿宋_GB2312" w:eastAsia="仿宋_GB2312" w:cs="仿宋_GB2312"/>
          <w:color w:val="000000"/>
          <w:sz w:val="32"/>
          <w:szCs w:val="32"/>
          <w:u w:val="none"/>
        </w:rPr>
      </w:pPr>
      <w:r>
        <w:rPr>
          <w:rFonts w:hint="eastAsia" w:ascii="仿宋_GB2312" w:hAnsi="仿宋_GB2312" w:eastAsia="仿宋_GB2312" w:cs="仿宋_GB2312"/>
          <w:color w:val="000000"/>
          <w:sz w:val="32"/>
          <w:szCs w:val="32"/>
          <w:u w:val="none"/>
        </w:rPr>
        <w:t>惠州大亚湾经济技术开发区市场监督管理局</w:t>
      </w:r>
    </w:p>
    <w:p>
      <w:pPr>
        <w:keepNext w:val="0"/>
        <w:keepLines w:val="0"/>
        <w:pageBreakBefore w:val="0"/>
        <w:widowControl w:val="0"/>
        <w:kinsoku/>
        <w:overflowPunct/>
        <w:topLinePunct w:val="0"/>
        <w:autoSpaceDE/>
        <w:autoSpaceDN/>
        <w:bidi w:val="0"/>
        <w:adjustRightInd/>
        <w:spacing w:line="560" w:lineRule="exact"/>
        <w:ind w:right="640" w:firstLine="601"/>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（印 章）</w:t>
      </w:r>
    </w:p>
    <w:p>
      <w:pPr>
        <w:keepNext w:val="0"/>
        <w:keepLines w:val="0"/>
        <w:pageBreakBefore w:val="0"/>
        <w:widowControl w:val="0"/>
        <w:kinsoku/>
        <w:overflowPunct/>
        <w:topLinePunct w:val="0"/>
        <w:autoSpaceDE/>
        <w:autoSpaceDN/>
        <w:bidi w:val="0"/>
        <w:adjustRightInd/>
        <w:spacing w:line="560" w:lineRule="exact"/>
        <w:ind w:right="640" w:firstLine="600"/>
        <w:jc w:val="center"/>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2021</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日</w:t>
      </w:r>
    </w:p>
    <w:p>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（市场监督管理部门将依法向社会公示本行政处罚决定信息）</w:t>
      </w:r>
    </w:p>
    <w:p>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val="0"/>
          <w:bCs w:val="0"/>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val="0"/>
          <w:bCs w:val="0"/>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val="0"/>
          <w:bCs w:val="0"/>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val="0"/>
          <w:bCs w:val="0"/>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val="0"/>
          <w:bCs w:val="0"/>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val="0"/>
          <w:bCs w:val="0"/>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val="0"/>
          <w:bCs w:val="0"/>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val="0"/>
          <w:bCs w:val="0"/>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val="0"/>
          <w:bCs w:val="0"/>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val="0"/>
          <w:bCs w:val="0"/>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val="0"/>
          <w:bCs w:val="0"/>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val="0"/>
          <w:bCs w:val="0"/>
          <w:color w:val="000000"/>
          <w:sz w:val="32"/>
          <w:szCs w:val="32"/>
        </w:rPr>
      </w:pPr>
    </w:p>
    <w:p>
      <w:pPr>
        <w:keepNext w:val="0"/>
        <w:keepLines w:val="0"/>
        <w:pageBreakBefore w:val="0"/>
        <w:widowControl w:val="0"/>
        <w:kinsoku/>
        <w:wordWrap w:val="0"/>
        <w:overflowPunct/>
        <w:topLinePunct w:val="0"/>
        <w:autoSpaceDE/>
        <w:autoSpaceDN/>
        <w:bidi w:val="0"/>
        <w:adjustRightInd/>
        <w:spacing w:line="560" w:lineRule="exact"/>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sz w:val="32"/>
          <w:szCs w:val="32"/>
        </w:rPr>
        <mc:AlternateContent>
          <mc:Choice Requires="wps">
            <w:drawing>
              <wp:anchor distT="0" distB="0" distL="114300" distR="114300" simplePos="0" relativeHeight="251765760" behindDoc="0" locked="0" layoutInCell="1" allowOverlap="1">
                <wp:simplePos x="0" y="0"/>
                <wp:positionH relativeFrom="column">
                  <wp:posOffset>-20320</wp:posOffset>
                </wp:positionH>
                <wp:positionV relativeFrom="paragraph">
                  <wp:posOffset>172085</wp:posOffset>
                </wp:positionV>
                <wp:extent cx="5550535" cy="635"/>
                <wp:effectExtent l="0" t="7620" r="12065" b="10795"/>
                <wp:wrapNone/>
                <wp:docPr id="11" name="直接连接符 11"/>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6pt;margin-top:13.55pt;height:0.05pt;width:437.05pt;z-index:251765760;mso-width-relative:page;mso-height-relative:page;" filled="f" stroked="t" coordsize="21600,21600" o:gfxdata="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PK6G5PYAAAACAEAAA8AAAAAAAAAAQAgAAAA&#10;IgAAAGRycy9kb3ducmV2LnhtbFBLAQIUABQAAAAIAIdO4kApN0ev0gEAAI8DAAAOAAAAAAAAAAEA&#10;IAAAACcBAABkcnMvZTJvRG9jLnhtbFBLBQYAAAAABgAGAFkBAABrBQAAAAA=&#10;">
                <v:fill on="f" focussize="0,0"/>
                <v:stroke weight="1.25pt" color="#000000" joinstyle="round"/>
                <v:imagedata o:title=""/>
                <o:lock v:ext="edit" aspectratio="f"/>
              </v:line>
            </w:pict>
          </mc:Fallback>
        </mc:AlternateContent>
      </w:r>
    </w:p>
    <w:p>
      <w:pPr>
        <w:keepNext w:val="0"/>
        <w:keepLines w:val="0"/>
        <w:pageBreakBefore w:val="0"/>
        <w:widowControl w:val="0"/>
        <w:kinsoku/>
        <w:wordWrap w:val="0"/>
        <w:overflowPunct/>
        <w:topLinePunct w:val="0"/>
        <w:autoSpaceDE/>
        <w:autoSpaceDN/>
        <w:bidi w:val="0"/>
        <w:adjustRightIn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color w:val="000000"/>
          <w:sz w:val="32"/>
          <w:szCs w:val="32"/>
          <w:u w:val="none"/>
        </w:rPr>
        <mc:AlternateContent>
          <mc:Choice Requires="wps">
            <w:drawing>
              <wp:anchor distT="0" distB="0" distL="114300" distR="114300" simplePos="0" relativeHeight="251764736"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764736;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L7/OR1wAAAAoBAAAPAAAAAAAAAAEA&#10;IAAAACIAAABkcnMvZG93bnJldi54bWxQSwECFAAUAAAACACHTuJAJXomzNcBAACNAwAADgAAAAAA&#10;AAABACAAAAAmAQAAZHJzL2Uyb0RvYy54bWxQSwUGAAAAAAYABgBZAQAAbwUAAAAA&#10;">
                <v:fill on="f" focussize="0,0"/>
                <v:stroke weight="0.737007874015748pt" color="#000000" joinstyle="round" endcap="square"/>
                <v:imagedata o:title=""/>
                <o:lock v:ext="edit" aspectratio="f"/>
              </v:line>
            </w:pict>
          </mc:Fallback>
        </mc:AlternateContent>
      </w:r>
      <w:r>
        <w:rPr>
          <w:rFonts w:hint="eastAsia" w:ascii="仿宋_GB2312" w:hAnsi="仿宋_GB2312" w:eastAsia="仿宋_GB2312" w:cs="仿宋_GB2312"/>
          <w:color w:val="000000"/>
          <w:sz w:val="32"/>
          <w:szCs w:val="32"/>
          <w:u w:val="none"/>
        </w:rPr>
        <w:t>本文书一式</w:t>
      </w:r>
      <w:r>
        <w:rPr>
          <w:rFonts w:hint="eastAsia" w:ascii="仿宋_GB2312" w:hAnsi="仿宋_GB2312" w:eastAsia="仿宋_GB2312" w:cs="仿宋_GB2312"/>
          <w:color w:val="000000"/>
          <w:sz w:val="32"/>
          <w:szCs w:val="32"/>
          <w:u w:val="none"/>
          <w:lang w:val="en-US" w:eastAsia="zh-CN"/>
        </w:rPr>
        <w:t>两</w:t>
      </w:r>
      <w:r>
        <w:rPr>
          <w:rFonts w:hint="eastAsia" w:ascii="仿宋_GB2312" w:hAnsi="仿宋_GB2312" w:eastAsia="仿宋_GB2312" w:cs="仿宋_GB2312"/>
          <w:color w:val="000000"/>
          <w:sz w:val="32"/>
          <w:szCs w:val="32"/>
          <w:u w:val="none"/>
        </w:rPr>
        <w:t>份，</w:t>
      </w:r>
      <w:r>
        <w:rPr>
          <w:rFonts w:hint="eastAsia" w:ascii="仿宋_GB2312" w:hAnsi="仿宋_GB2312" w:eastAsia="仿宋_GB2312" w:cs="仿宋_GB2312"/>
          <w:color w:val="000000"/>
          <w:sz w:val="32"/>
          <w:szCs w:val="32"/>
          <w:u w:val="none"/>
          <w:lang w:val="en-US" w:eastAsia="zh-CN"/>
        </w:rPr>
        <w:t>一</w:t>
      </w:r>
      <w:r>
        <w:rPr>
          <w:rFonts w:hint="eastAsia" w:ascii="仿宋_GB2312" w:hAnsi="仿宋_GB2312" w:eastAsia="仿宋_GB2312" w:cs="仿宋_GB2312"/>
          <w:color w:val="000000"/>
          <w:sz w:val="32"/>
          <w:szCs w:val="32"/>
          <w:u w:val="none"/>
        </w:rPr>
        <w:t>份送达，一</w:t>
      </w:r>
      <w:r>
        <w:rPr>
          <w:rFonts w:hint="eastAsia" w:ascii="仿宋_GB2312" w:hAnsi="仿宋_GB2312" w:eastAsia="仿宋_GB2312" w:cs="仿宋_GB2312"/>
          <w:color w:val="000000"/>
          <w:sz w:val="32"/>
          <w:szCs w:val="32"/>
        </w:rPr>
        <w:t>份归档。</w:t>
      </w:r>
    </w:p>
    <w:sectPr>
      <w:footerReference r:id="rId3" w:type="default"/>
      <w:pgSz w:w="11906" w:h="16838"/>
      <w:pgMar w:top="1440" w:right="1559" w:bottom="1383" w:left="1559"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angal">
    <w:panose1 w:val="02040503050203030202"/>
    <w:charset w:val="00"/>
    <w:family w:val="swiss"/>
    <w:pitch w:val="default"/>
    <w:sig w:usb0="00008003"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Mongolian Baiti">
    <w:panose1 w:val="03000500000000000000"/>
    <w:charset w:val="00"/>
    <w:family w:val="script"/>
    <w:pitch w:val="default"/>
    <w:sig w:usb0="80000023" w:usb1="00000000" w:usb2="00020000" w:usb3="00000000" w:csb0="00000001" w:csb1="00000000"/>
  </w:font>
  <w:font w:name="仿宋_GB2312">
    <w:panose1 w:val="02010609030101010101"/>
    <w:charset w:val="86"/>
    <w:family w:val="decorative"/>
    <w:pitch w:val="default"/>
    <w:sig w:usb0="00000001" w:usb1="080E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8240" behindDoc="0" locked="0" layoutInCell="1" allowOverlap="1">
              <wp:simplePos x="0" y="0"/>
              <wp:positionH relativeFrom="margin">
                <wp:posOffset>2120265</wp:posOffset>
              </wp:positionH>
              <wp:positionV relativeFrom="paragraph">
                <wp:posOffset>-88900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 w:hAnsi="仿宋" w:eastAsia="仿宋" w:cs="仿宋"/>
                              <w:sz w:val="24"/>
                              <w:szCs w:val="24"/>
                              <w:lang w:eastAsia="zh-CN"/>
                            </w:rPr>
                          </w:pPr>
                          <w:r>
                            <w:rPr>
                              <w:rFonts w:hint="eastAsia" w:ascii="仿宋" w:hAnsi="仿宋" w:eastAsia="仿宋" w:cs="仿宋"/>
                              <w:sz w:val="24"/>
                              <w:szCs w:val="24"/>
                              <w:lang w:eastAsia="zh-CN"/>
                            </w:rPr>
                            <w:t xml:space="preserve">第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PAGE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1</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 共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NUMPAGES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4</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66.95pt;margin-top:-7pt;height:144pt;width:144pt;mso-position-horizontal-relative:margin;mso-wrap-style:none;z-index:251658240;mso-width-relative:page;mso-height-relative:page;" filled="f" stroked="f" coordsize="21600,21600" o:gfxdata="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le+ZQ1wAAAAsBAAAPAAAAAAAA&#10;AAEAIAAAACIAAABkcnMvZG93bnJldi54bWxQSwECFAAUAAAACACHTuJABdxysBMCAAATBAAADgAA&#10;AAAAAAABACAAAAAmAQAAZHJzL2Uyb0RvYy54bWxQSwUGAAAAAAYABgBZAQAAqwUAAAAA&#10;">
              <v:fill on="f" focussize="0,0"/>
              <v:stroke on="f" weight="0.5pt"/>
              <v:imagedata o:title=""/>
              <o:lock v:ext="edit" aspectratio="f"/>
              <v:textbox inset="0mm,0mm,0mm,0mm" style="mso-fit-shape-to-text:t;">
                <w:txbxContent>
                  <w:p>
                    <w:pPr>
                      <w:pStyle w:val="3"/>
                      <w:rPr>
                        <w:rFonts w:hint="eastAsia" w:ascii="仿宋" w:hAnsi="仿宋" w:eastAsia="仿宋" w:cs="仿宋"/>
                        <w:sz w:val="24"/>
                        <w:szCs w:val="24"/>
                        <w:lang w:eastAsia="zh-CN"/>
                      </w:rPr>
                    </w:pPr>
                    <w:r>
                      <w:rPr>
                        <w:rFonts w:hint="eastAsia" w:ascii="仿宋" w:hAnsi="仿宋" w:eastAsia="仿宋" w:cs="仿宋"/>
                        <w:sz w:val="24"/>
                        <w:szCs w:val="24"/>
                        <w:lang w:eastAsia="zh-CN"/>
                      </w:rPr>
                      <w:t xml:space="preserve">第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PAGE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1</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 共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NUMPAGES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4</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multilevel"/>
    <w:tmpl w:val="0053208E"/>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912164"/>
    <w:rsid w:val="01D7747A"/>
    <w:rsid w:val="02F11640"/>
    <w:rsid w:val="05EC6C5F"/>
    <w:rsid w:val="07DB75EB"/>
    <w:rsid w:val="09FA03ED"/>
    <w:rsid w:val="0AB8293D"/>
    <w:rsid w:val="0AF00C98"/>
    <w:rsid w:val="0B581F25"/>
    <w:rsid w:val="0BEF70AE"/>
    <w:rsid w:val="0CA24054"/>
    <w:rsid w:val="0D452CFA"/>
    <w:rsid w:val="0E902512"/>
    <w:rsid w:val="0F0C4DEC"/>
    <w:rsid w:val="0F322986"/>
    <w:rsid w:val="0FAD29E8"/>
    <w:rsid w:val="103E3AEB"/>
    <w:rsid w:val="126D6483"/>
    <w:rsid w:val="12C72088"/>
    <w:rsid w:val="13A95C80"/>
    <w:rsid w:val="15DF5E21"/>
    <w:rsid w:val="18E660FD"/>
    <w:rsid w:val="1962136F"/>
    <w:rsid w:val="19CA24B5"/>
    <w:rsid w:val="19F70C47"/>
    <w:rsid w:val="1A0944E2"/>
    <w:rsid w:val="1B273E89"/>
    <w:rsid w:val="1EFD7012"/>
    <w:rsid w:val="1F582976"/>
    <w:rsid w:val="1F6436F2"/>
    <w:rsid w:val="1FAC3C03"/>
    <w:rsid w:val="1FE70618"/>
    <w:rsid w:val="20AB7C90"/>
    <w:rsid w:val="21A12216"/>
    <w:rsid w:val="23034A3F"/>
    <w:rsid w:val="23CB1A8E"/>
    <w:rsid w:val="23FC4940"/>
    <w:rsid w:val="253F4E86"/>
    <w:rsid w:val="2707344D"/>
    <w:rsid w:val="277B6956"/>
    <w:rsid w:val="292674AF"/>
    <w:rsid w:val="2B8405F2"/>
    <w:rsid w:val="2BCF6E13"/>
    <w:rsid w:val="2CAD0916"/>
    <w:rsid w:val="30822D9F"/>
    <w:rsid w:val="319F3384"/>
    <w:rsid w:val="33F956AE"/>
    <w:rsid w:val="348274E3"/>
    <w:rsid w:val="34EB405D"/>
    <w:rsid w:val="35BA74B5"/>
    <w:rsid w:val="365C0E67"/>
    <w:rsid w:val="38912164"/>
    <w:rsid w:val="38FF09EE"/>
    <w:rsid w:val="390E633C"/>
    <w:rsid w:val="39EF22F8"/>
    <w:rsid w:val="3AF33710"/>
    <w:rsid w:val="3C5C07C7"/>
    <w:rsid w:val="3D51448E"/>
    <w:rsid w:val="3E2E34B7"/>
    <w:rsid w:val="3E7C56BE"/>
    <w:rsid w:val="3EA01000"/>
    <w:rsid w:val="3FBF66C9"/>
    <w:rsid w:val="41DF5F66"/>
    <w:rsid w:val="41E233FC"/>
    <w:rsid w:val="41FF2BF6"/>
    <w:rsid w:val="43FC5992"/>
    <w:rsid w:val="45657E3A"/>
    <w:rsid w:val="472C4C55"/>
    <w:rsid w:val="477F0868"/>
    <w:rsid w:val="47DB32D3"/>
    <w:rsid w:val="4C391BEE"/>
    <w:rsid w:val="4C7C37F5"/>
    <w:rsid w:val="4D097B45"/>
    <w:rsid w:val="4D144A3D"/>
    <w:rsid w:val="4D465454"/>
    <w:rsid w:val="4DAE1275"/>
    <w:rsid w:val="4E345BE0"/>
    <w:rsid w:val="528778EB"/>
    <w:rsid w:val="528F6ABE"/>
    <w:rsid w:val="532E414E"/>
    <w:rsid w:val="58EC2BBF"/>
    <w:rsid w:val="5A0844F8"/>
    <w:rsid w:val="5A644306"/>
    <w:rsid w:val="5AC16E10"/>
    <w:rsid w:val="5BF13BEC"/>
    <w:rsid w:val="5D0B671F"/>
    <w:rsid w:val="5D496EBC"/>
    <w:rsid w:val="5EC65B68"/>
    <w:rsid w:val="609020B1"/>
    <w:rsid w:val="61B822E0"/>
    <w:rsid w:val="625426F7"/>
    <w:rsid w:val="63E94992"/>
    <w:rsid w:val="64FD70A1"/>
    <w:rsid w:val="65506357"/>
    <w:rsid w:val="67376857"/>
    <w:rsid w:val="67CE40E5"/>
    <w:rsid w:val="68CD69FA"/>
    <w:rsid w:val="68DE7694"/>
    <w:rsid w:val="692D7316"/>
    <w:rsid w:val="69443A50"/>
    <w:rsid w:val="697D2051"/>
    <w:rsid w:val="6C597479"/>
    <w:rsid w:val="6E721FDF"/>
    <w:rsid w:val="708D0265"/>
    <w:rsid w:val="73F4229E"/>
    <w:rsid w:val="73F71089"/>
    <w:rsid w:val="749F1D4C"/>
    <w:rsid w:val="77330C82"/>
    <w:rsid w:val="78E435B8"/>
    <w:rsid w:val="793A2167"/>
    <w:rsid w:val="7B5845DD"/>
    <w:rsid w:val="7F8858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numPr>
        <w:ilvl w:val="0"/>
        <w:numId w:val="1"/>
      </w:numPr>
      <w:spacing w:before="240" w:after="120"/>
      <w:jc w:val="left"/>
      <w:outlineLvl w:val="0"/>
    </w:pPr>
    <w:rPr>
      <w:rFonts w:ascii="Times New Roman" w:hAnsi="Times New Roman" w:cs="Mangal"/>
      <w:color w:val="00000A"/>
      <w:sz w:val="24"/>
      <w:lang w:val="zh-CN" w:bidi="hi-IN"/>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FollowedHyperlink"/>
    <w:basedOn w:val="7"/>
    <w:qFormat/>
    <w:uiPriority w:val="0"/>
    <w:rPr>
      <w:color w:val="FFFFFF"/>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大亚湾区市场监管局</Company>
  <Pages>1</Pages>
  <Words>0</Words>
  <Characters>0</Characters>
  <Lines>0</Lines>
  <Paragraphs>0</Paragraphs>
  <TotalTime>2</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2019-04-03T02:20:00Z</dcterms:created>
  <dc:creator>yiyon</dc:creator>
  <cp:lastModifiedBy>Administrator</cp:lastModifiedBy>
  <cp:lastPrinted>2019-10-08T09:08:00Z</cp:lastPrinted>
  <dcterms:modified xsi:type="dcterms:W3CDTF">2021-07-29T09:22:38Z</dcterms:modified>
  <dc:title>惠州大亚湾经济技术开发区市场监督管理局</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