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color w:val="000000"/>
          <w:sz w:val="44"/>
          <w:szCs w:val="44"/>
        </w:rPr>
        <w:t>惠州大亚湾经济技术开发区市场监督管理局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snapToGrid w:val="0"/>
        <w:spacing w:line="300" w:lineRule="auto"/>
        <w:jc w:val="center"/>
        <w:rPr>
          <w:rFonts w:hint="eastAsia" w:ascii="Times New Roman" w:hAnsi="Times New Roman" w:eastAsia="仿宋_GB2312" w:cs="仿宋"/>
          <w:color w:val="000000"/>
          <w:sz w:val="32"/>
          <w:szCs w:val="32"/>
          <w:u w:val="single"/>
        </w:rPr>
      </w:pPr>
    </w:p>
    <w:p>
      <w:pPr>
        <w:snapToGrid w:val="0"/>
        <w:spacing w:line="300" w:lineRule="auto"/>
        <w:jc w:val="center"/>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rPr>
        <w:t>西处字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rPr>
        <w:t>202</w:t>
      </w:r>
      <w:r>
        <w:rPr>
          <w:rFonts w:hint="eastAsia" w:ascii="Times New Roman" w:hAnsi="Times New Roman" w:eastAsia="仿宋_GB2312" w:cs="仿宋"/>
          <w:color w:val="000000"/>
          <w:sz w:val="32"/>
          <w:szCs w:val="32"/>
          <w:u w:val="single"/>
          <w:lang w:val="en-US" w:eastAsia="zh-CN"/>
        </w:rPr>
        <w:t>1</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71</w:t>
      </w:r>
      <w:r>
        <w:rPr>
          <w:rFonts w:hint="eastAsia" w:ascii="Times New Roman"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w:t>
      </w:r>
      <w:r>
        <w:rPr>
          <w:rFonts w:hint="eastAsia" w:ascii="Times New Roman" w:hAnsi="Times New Roman" w:eastAsia="仿宋_GB2312" w:cs="仿宋"/>
          <w:color w:val="auto"/>
          <w:sz w:val="32"/>
          <w:szCs w:val="32"/>
          <w:u w:val="single"/>
          <w:lang w:val="en-US" w:eastAsia="zh-CN"/>
        </w:rPr>
        <w:t>向小梅</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主体资格证照名称：</w:t>
      </w:r>
      <w:r>
        <w:rPr>
          <w:rFonts w:hint="eastAsia" w:ascii="Times New Roman" w:hAnsi="Times New Roman" w:eastAsia="仿宋_GB2312" w:cs="Mongolian Baiti"/>
          <w:kern w:val="1"/>
          <w:sz w:val="32"/>
          <w:szCs w:val="32"/>
          <w:u w:val="single"/>
        </w:rPr>
        <w:t xml:space="preserve">身份证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ascii="Times New Roman"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640"/>
        <w:textAlignment w:val="auto"/>
        <w:rPr>
          <w:rFonts w:hint="default" w:ascii="仿宋" w:hAnsi="仿宋" w:eastAsia="仿宋" w:cs="仿宋_GB2312"/>
          <w:sz w:val="32"/>
          <w:szCs w:val="32"/>
          <w:u w:val="single"/>
          <w:lang w:val="en-US" w:eastAsia="zh-CN"/>
        </w:rPr>
      </w:pPr>
      <w:bookmarkStart w:id="2" w:name="_GoBack"/>
      <w:bookmarkEnd w:id="2"/>
      <w:bookmarkStart w:id="0" w:name="_Hlk33263422"/>
      <w:bookmarkStart w:id="1" w:name="_Hlk33261524"/>
      <w:r>
        <w:rPr>
          <w:rFonts w:hint="eastAsia" w:ascii="仿宋" w:hAnsi="仿宋" w:eastAsia="仿宋" w:cs="仿宋_GB2312"/>
          <w:sz w:val="32"/>
          <w:szCs w:val="32"/>
          <w:u w:val="single"/>
          <w:lang w:val="en-US" w:eastAsia="zh-CN"/>
        </w:rPr>
        <w:t>2021年5月27日</w:t>
      </w:r>
      <w:r>
        <w:rPr>
          <w:rFonts w:hint="eastAsia" w:ascii="仿宋" w:hAnsi="仿宋" w:eastAsia="仿宋" w:cs="仿宋_GB2312"/>
          <w:sz w:val="32"/>
          <w:szCs w:val="32"/>
          <w:u w:val="single"/>
        </w:rPr>
        <w:t>，我局西区市场监督管理所执法人员对位于惠州大亚湾西区</w:t>
      </w:r>
      <w:r>
        <w:rPr>
          <w:rFonts w:hint="eastAsia" w:ascii="仿宋" w:hAnsi="仿宋" w:eastAsia="仿宋" w:cs="仿宋_GB2312"/>
          <w:sz w:val="32"/>
          <w:szCs w:val="32"/>
          <w:u w:val="single"/>
          <w:lang w:val="en-US" w:eastAsia="zh-CN"/>
        </w:rPr>
        <w:t>龙光城北区117栋1单元201号房的</w:t>
      </w:r>
      <w:r>
        <w:rPr>
          <w:rFonts w:hint="eastAsia" w:ascii="仿宋" w:hAnsi="仿宋" w:eastAsia="仿宋" w:cs="仿宋_GB2312"/>
          <w:sz w:val="32"/>
          <w:szCs w:val="32"/>
          <w:u w:val="single"/>
        </w:rPr>
        <w:t>“</w:t>
      </w:r>
      <w:r>
        <w:rPr>
          <w:rFonts w:hint="eastAsia" w:ascii="Times New Roman" w:hAnsi="Times New Roman" w:eastAsia="仿宋_GB2312" w:cs="仿宋"/>
          <w:color w:val="auto"/>
          <w:sz w:val="32"/>
          <w:szCs w:val="32"/>
          <w:u w:val="single"/>
          <w:lang w:val="en-US" w:eastAsia="zh-CN"/>
        </w:rPr>
        <w:t>智善教育机构</w:t>
      </w:r>
      <w:r>
        <w:rPr>
          <w:rFonts w:hint="eastAsia" w:ascii="仿宋" w:hAnsi="仿宋" w:eastAsia="仿宋" w:cs="仿宋_GB2312"/>
          <w:sz w:val="32"/>
          <w:szCs w:val="32"/>
          <w:u w:val="single"/>
        </w:rPr>
        <w:t>”依法进行检查，现场检查</w:t>
      </w:r>
      <w:r>
        <w:rPr>
          <w:rFonts w:hint="eastAsia" w:ascii="仿宋" w:hAnsi="仿宋" w:eastAsia="仿宋" w:cs="仿宋_GB2312"/>
          <w:sz w:val="32"/>
          <w:szCs w:val="32"/>
          <w:u w:val="single"/>
          <w:lang w:val="en-US" w:eastAsia="zh-CN"/>
        </w:rPr>
        <w:t>时</w:t>
      </w:r>
      <w:r>
        <w:rPr>
          <w:rFonts w:hint="eastAsia" w:ascii="仿宋" w:hAnsi="仿宋" w:eastAsia="仿宋" w:cs="仿宋_GB2312"/>
          <w:sz w:val="32"/>
          <w:szCs w:val="32"/>
          <w:u w:val="single"/>
        </w:rPr>
        <w:t>，</w:t>
      </w:r>
      <w:r>
        <w:rPr>
          <w:rFonts w:hint="eastAsia" w:ascii="仿宋" w:hAnsi="仿宋" w:eastAsia="仿宋" w:cs="仿宋_GB2312"/>
          <w:sz w:val="32"/>
          <w:szCs w:val="32"/>
          <w:u w:val="single"/>
          <w:lang w:val="en-US" w:eastAsia="zh-CN"/>
        </w:rPr>
        <w:t>该教育机构正常经营，经营面积约90平方米，客厅摆放12张桌子，24张板凳，有14名午间放学的学生在客厅内就餐；三个房间内摆放若干张床，为学生提供午休服务，现场有两名工作人员，当事人现场未提供合法有效的</w:t>
      </w:r>
      <w:r>
        <w:rPr>
          <w:rFonts w:hint="eastAsia" w:ascii="仿宋" w:hAnsi="仿宋" w:eastAsia="仿宋" w:cs="仿宋_GB2312"/>
          <w:sz w:val="32"/>
          <w:szCs w:val="32"/>
          <w:u w:val="single"/>
        </w:rPr>
        <w:t>食品经营许可证</w:t>
      </w:r>
      <w:r>
        <w:rPr>
          <w:rFonts w:hint="eastAsia" w:ascii="仿宋" w:hAnsi="仿宋" w:eastAsia="仿宋" w:cs="仿宋_GB2312"/>
          <w:sz w:val="32"/>
          <w:szCs w:val="32"/>
          <w:u w:val="single"/>
          <w:lang w:val="en-US" w:eastAsia="zh-CN"/>
        </w:rPr>
        <w:t>和营业执照</w:t>
      </w:r>
      <w:r>
        <w:rPr>
          <w:rFonts w:hint="eastAsia" w:ascii="仿宋" w:hAnsi="仿宋" w:eastAsia="仿宋" w:cs="仿宋_GB2312"/>
          <w:sz w:val="32"/>
          <w:szCs w:val="32"/>
          <w:u w:val="single"/>
        </w:rPr>
        <w:t>，</w:t>
      </w:r>
      <w:r>
        <w:rPr>
          <w:rFonts w:hint="eastAsia" w:ascii="仿宋" w:hAnsi="仿宋" w:eastAsia="仿宋" w:cs="仿宋_GB2312"/>
          <w:sz w:val="32"/>
          <w:szCs w:val="32"/>
          <w:u w:val="single"/>
          <w:lang w:val="en-US" w:eastAsia="zh-CN"/>
        </w:rPr>
        <w:t>经初步调查，当事人</w:t>
      </w:r>
      <w:r>
        <w:rPr>
          <w:rFonts w:hint="eastAsia" w:ascii="Times New Roman" w:hAnsi="Times New Roman" w:eastAsia="仿宋_GB2312" w:cs="仿宋"/>
          <w:sz w:val="32"/>
          <w:szCs w:val="32"/>
          <w:u w:val="single"/>
          <w:lang w:eastAsia="zh-CN"/>
        </w:rPr>
        <w:t>未</w:t>
      </w:r>
      <w:r>
        <w:rPr>
          <w:rFonts w:hint="eastAsia" w:ascii="Times New Roman" w:hAnsi="Times New Roman" w:eastAsia="仿宋_GB2312" w:cs="仿宋"/>
          <w:sz w:val="32"/>
          <w:szCs w:val="32"/>
          <w:u w:val="single"/>
          <w:lang w:val="en-US" w:eastAsia="zh-CN"/>
        </w:rPr>
        <w:t>取得食品经营</w:t>
      </w:r>
      <w:r>
        <w:rPr>
          <w:rFonts w:hint="eastAsia" w:ascii="Times New Roman" w:hAnsi="Times New Roman" w:eastAsia="仿宋_GB2312" w:cs="仿宋"/>
          <w:sz w:val="32"/>
          <w:szCs w:val="32"/>
          <w:u w:val="single"/>
          <w:lang w:eastAsia="zh-CN"/>
        </w:rPr>
        <w:t>许可从事餐饮服务</w:t>
      </w:r>
      <w:r>
        <w:rPr>
          <w:rFonts w:hint="eastAsia" w:ascii="Times New Roman" w:hAnsi="Times New Roman" w:eastAsia="仿宋_GB2312" w:cs="仿宋"/>
          <w:sz w:val="32"/>
          <w:szCs w:val="32"/>
          <w:u w:val="single"/>
          <w:lang w:val="en-US" w:eastAsia="zh-CN"/>
        </w:rPr>
        <w:t>的行为，涉嫌</w:t>
      </w:r>
      <w:r>
        <w:rPr>
          <w:rFonts w:hint="eastAsia" w:ascii="仿宋" w:hAnsi="仿宋" w:eastAsia="仿宋" w:cs="仿宋_GB2312"/>
          <w:sz w:val="32"/>
          <w:szCs w:val="32"/>
          <w:u w:val="single"/>
        </w:rPr>
        <w:t>违反了《中华人民共和国食品安全法》第三十五条第一款</w:t>
      </w:r>
      <w:r>
        <w:rPr>
          <w:rFonts w:hint="eastAsia" w:ascii="仿宋" w:hAnsi="仿宋" w:eastAsia="仿宋" w:cs="仿宋_GB2312"/>
          <w:sz w:val="32"/>
          <w:szCs w:val="32"/>
          <w:u w:val="single"/>
          <w:lang w:val="en-US" w:eastAsia="zh-CN"/>
        </w:rPr>
        <w:t>的规定。按程序</w:t>
      </w:r>
      <w:r>
        <w:rPr>
          <w:rFonts w:hint="eastAsia" w:ascii="仿宋" w:hAnsi="仿宋" w:eastAsia="仿宋" w:cs="仿宋_GB2312"/>
          <w:sz w:val="32"/>
          <w:szCs w:val="32"/>
          <w:u w:val="single"/>
        </w:rPr>
        <w:t>审批</w:t>
      </w:r>
      <w:r>
        <w:rPr>
          <w:rFonts w:hint="eastAsia" w:ascii="仿宋" w:hAnsi="仿宋" w:eastAsia="仿宋" w:cs="仿宋_GB2312"/>
          <w:sz w:val="32"/>
          <w:szCs w:val="32"/>
          <w:u w:val="single"/>
          <w:lang w:val="en-US" w:eastAsia="zh-CN"/>
        </w:rPr>
        <w:t>后</w:t>
      </w:r>
      <w:r>
        <w:rPr>
          <w:rFonts w:hint="eastAsia" w:ascii="仿宋" w:hAnsi="仿宋" w:eastAsia="仿宋" w:cs="仿宋_GB2312"/>
          <w:sz w:val="32"/>
          <w:szCs w:val="32"/>
          <w:u w:val="single"/>
        </w:rPr>
        <w:t>，我局执法人员</w:t>
      </w:r>
      <w:r>
        <w:rPr>
          <w:rFonts w:hint="eastAsia" w:ascii="仿宋" w:hAnsi="仿宋" w:eastAsia="仿宋" w:cs="仿宋_GB2312"/>
          <w:sz w:val="32"/>
          <w:szCs w:val="32"/>
          <w:u w:val="single"/>
          <w:lang w:val="en-US" w:eastAsia="zh-CN"/>
        </w:rPr>
        <w:t>当日</w:t>
      </w:r>
      <w:r>
        <w:rPr>
          <w:rFonts w:hint="eastAsia" w:ascii="仿宋" w:hAnsi="仿宋" w:eastAsia="仿宋" w:cs="仿宋_GB2312"/>
          <w:sz w:val="32"/>
          <w:szCs w:val="32"/>
          <w:u w:val="single"/>
        </w:rPr>
        <w:t>对当事人</w:t>
      </w:r>
      <w:r>
        <w:rPr>
          <w:rFonts w:hint="eastAsia" w:ascii="仿宋" w:hAnsi="仿宋" w:eastAsia="仿宋" w:cs="仿宋_GB2312"/>
          <w:sz w:val="32"/>
          <w:szCs w:val="32"/>
          <w:u w:val="single"/>
          <w:lang w:val="en-US" w:eastAsia="zh-CN"/>
        </w:rPr>
        <w:t>进行</w:t>
      </w:r>
      <w:r>
        <w:rPr>
          <w:rFonts w:hint="eastAsia" w:ascii="仿宋" w:hAnsi="仿宋" w:eastAsia="仿宋" w:cs="仿宋_GB2312"/>
          <w:sz w:val="32"/>
          <w:szCs w:val="32"/>
          <w:u w:val="single"/>
        </w:rPr>
        <w:t>立案调查，对当事人涉嫌违法经营的</w:t>
      </w:r>
      <w:r>
        <w:rPr>
          <w:rFonts w:hint="eastAsia" w:ascii="仿宋" w:hAnsi="仿宋" w:eastAsia="仿宋" w:cs="仿宋_GB2312"/>
          <w:sz w:val="32"/>
          <w:szCs w:val="32"/>
          <w:u w:val="single"/>
          <w:lang w:val="en-US" w:eastAsia="zh-CN"/>
        </w:rPr>
        <w:t>部分</w:t>
      </w:r>
      <w:r>
        <w:rPr>
          <w:rFonts w:hint="eastAsia" w:ascii="仿宋" w:hAnsi="仿宋" w:eastAsia="仿宋" w:cs="仿宋_GB2312"/>
          <w:sz w:val="32"/>
          <w:szCs w:val="32"/>
          <w:u w:val="single"/>
        </w:rPr>
        <w:t>食品、</w:t>
      </w:r>
      <w:r>
        <w:rPr>
          <w:rFonts w:hint="eastAsia" w:ascii="仿宋" w:hAnsi="仿宋" w:eastAsia="仿宋" w:cs="仿宋_GB2312"/>
          <w:sz w:val="32"/>
          <w:szCs w:val="32"/>
          <w:u w:val="single"/>
          <w:lang w:val="en-US" w:eastAsia="zh-CN"/>
        </w:rPr>
        <w:t>工具及经营票据</w:t>
      </w:r>
      <w:r>
        <w:rPr>
          <w:rFonts w:hint="eastAsia" w:ascii="仿宋" w:hAnsi="仿宋" w:eastAsia="仿宋" w:cs="仿宋_GB2312"/>
          <w:sz w:val="32"/>
          <w:szCs w:val="32"/>
          <w:u w:val="single"/>
        </w:rPr>
        <w:t>实施扣押行政强制措施</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lang w:val="en-US" w:eastAsia="zh-CN"/>
        </w:rPr>
        <w:t>详见《财物清单》32号</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rPr>
        <w:t>，并责令当事人立即停止违法经营行为。</w:t>
      </w:r>
      <w:bookmarkEnd w:id="0"/>
      <w:bookmarkEnd w:id="1"/>
      <w:r>
        <w:rPr>
          <w:rFonts w:hint="eastAsia" w:ascii="仿宋" w:hAnsi="仿宋" w:eastAsia="仿宋"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 xml:space="preserve">    </w:t>
      </w:r>
      <w:r>
        <w:rPr>
          <w:rFonts w:hint="eastAsia" w:ascii="仿宋" w:hAnsi="仿宋" w:eastAsia="仿宋" w:cs="仿宋_GB2312"/>
          <w:sz w:val="32"/>
          <w:szCs w:val="32"/>
          <w:u w:val="single"/>
        </w:rPr>
        <w:t>经查实，当事人于20</w:t>
      </w:r>
      <w:r>
        <w:rPr>
          <w:rFonts w:hint="eastAsia" w:ascii="仿宋" w:hAnsi="仿宋" w:eastAsia="仿宋" w:cs="仿宋_GB2312"/>
          <w:sz w:val="32"/>
          <w:szCs w:val="32"/>
          <w:u w:val="single"/>
          <w:lang w:val="en-US" w:eastAsia="zh-CN"/>
        </w:rPr>
        <w:t>20</w:t>
      </w:r>
      <w:r>
        <w:rPr>
          <w:rFonts w:hint="eastAsia" w:ascii="仿宋" w:hAnsi="仿宋" w:eastAsia="仿宋" w:cs="仿宋_GB2312"/>
          <w:sz w:val="32"/>
          <w:szCs w:val="32"/>
          <w:u w:val="single"/>
        </w:rPr>
        <w:t>年</w:t>
      </w:r>
      <w:r>
        <w:rPr>
          <w:rFonts w:hint="eastAsia" w:ascii="仿宋" w:hAnsi="仿宋" w:eastAsia="仿宋" w:cs="仿宋_GB2312"/>
          <w:sz w:val="32"/>
          <w:szCs w:val="32"/>
          <w:u w:val="single"/>
          <w:lang w:val="en-US" w:eastAsia="zh-CN"/>
        </w:rPr>
        <w:t>5</w:t>
      </w:r>
      <w:r>
        <w:rPr>
          <w:rFonts w:hint="eastAsia" w:ascii="仿宋" w:hAnsi="仿宋" w:eastAsia="仿宋" w:cs="仿宋_GB2312"/>
          <w:sz w:val="32"/>
          <w:szCs w:val="32"/>
          <w:u w:val="single"/>
        </w:rPr>
        <w:t>月</w:t>
      </w:r>
      <w:r>
        <w:rPr>
          <w:rFonts w:hint="eastAsia" w:ascii="仿宋" w:hAnsi="仿宋" w:eastAsia="仿宋" w:cs="仿宋_GB2312"/>
          <w:sz w:val="32"/>
          <w:szCs w:val="32"/>
          <w:u w:val="single"/>
          <w:lang w:val="en-US" w:eastAsia="zh-CN"/>
        </w:rPr>
        <w:t>1日</w:t>
      </w:r>
      <w:r>
        <w:rPr>
          <w:rFonts w:hint="eastAsia" w:ascii="仿宋" w:hAnsi="仿宋" w:eastAsia="仿宋" w:cs="仿宋_GB2312"/>
          <w:sz w:val="32"/>
          <w:szCs w:val="32"/>
          <w:u w:val="single"/>
        </w:rPr>
        <w:t>起，在</w:t>
      </w:r>
      <w:r>
        <w:rPr>
          <w:rFonts w:hint="eastAsia" w:ascii="仿宋" w:hAnsi="仿宋" w:eastAsia="仿宋" w:cs="仿宋_GB2312"/>
          <w:sz w:val="32"/>
          <w:szCs w:val="32"/>
          <w:u w:val="single"/>
          <w:lang w:val="en-US" w:eastAsia="zh-CN"/>
        </w:rPr>
        <w:t>未</w:t>
      </w:r>
      <w:r>
        <w:rPr>
          <w:rFonts w:hint="eastAsia" w:ascii="仿宋" w:hAnsi="仿宋" w:eastAsia="仿宋" w:cs="仿宋_GB2312"/>
          <w:sz w:val="32"/>
          <w:szCs w:val="32"/>
          <w:u w:val="single"/>
        </w:rPr>
        <w:t>办理食品经营许可证的情况下，擅自在惠州大亚湾西区</w:t>
      </w:r>
      <w:r>
        <w:rPr>
          <w:rFonts w:hint="eastAsia" w:ascii="仿宋" w:hAnsi="仿宋" w:eastAsia="仿宋" w:cs="仿宋_GB2312"/>
          <w:sz w:val="32"/>
          <w:szCs w:val="32"/>
          <w:u w:val="single"/>
          <w:lang w:val="en-US" w:eastAsia="zh-CN"/>
        </w:rPr>
        <w:t>龙光城北区117栋1单元201号房</w:t>
      </w:r>
      <w:r>
        <w:rPr>
          <w:rFonts w:hint="eastAsia" w:ascii="仿宋" w:hAnsi="仿宋" w:eastAsia="仿宋" w:cs="仿宋_GB2312"/>
          <w:sz w:val="32"/>
          <w:szCs w:val="32"/>
          <w:u w:val="single"/>
        </w:rPr>
        <w:t>从事餐饮服务，</w:t>
      </w:r>
      <w:r>
        <w:rPr>
          <w:rFonts w:hint="eastAsia" w:ascii="仿宋" w:hAnsi="仿宋" w:eastAsia="仿宋" w:cs="仿宋_GB2312"/>
          <w:sz w:val="32"/>
          <w:szCs w:val="32"/>
          <w:u w:val="single"/>
          <w:lang w:val="en-US" w:eastAsia="zh-CN"/>
        </w:rPr>
        <w:t>根据当事人陈述，在当事人经营的教育机构进行托管并食用午餐的共有25人，食用晚餐并托管的共有9人。</w:t>
      </w:r>
      <w:r>
        <w:rPr>
          <w:rFonts w:hint="eastAsia" w:ascii="仿宋" w:hAnsi="仿宋" w:eastAsia="仿宋" w:cs="仿宋_GB2312"/>
          <w:sz w:val="32"/>
          <w:szCs w:val="32"/>
          <w:u w:val="single"/>
        </w:rPr>
        <w:t>在本案的调查过程中，</w:t>
      </w:r>
      <w:r>
        <w:rPr>
          <w:rFonts w:hint="eastAsia" w:ascii="仿宋" w:hAnsi="仿宋" w:eastAsia="仿宋" w:cs="仿宋_GB2312"/>
          <w:sz w:val="32"/>
          <w:szCs w:val="32"/>
          <w:u w:val="single"/>
          <w:lang w:val="en-US" w:eastAsia="zh-CN"/>
        </w:rPr>
        <w:t>我执法人员在现场发现部分食品原料的进货票据并进行复制，未发现其他经营相关</w:t>
      </w:r>
      <w:r>
        <w:rPr>
          <w:rFonts w:hint="eastAsia" w:ascii="仿宋" w:hAnsi="仿宋" w:eastAsia="仿宋" w:cs="仿宋_GB2312"/>
          <w:sz w:val="32"/>
          <w:szCs w:val="32"/>
          <w:u w:val="single"/>
        </w:rPr>
        <w:t>票据</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rPr>
        <w:t>由于当事人</w:t>
      </w:r>
      <w:r>
        <w:rPr>
          <w:rFonts w:hint="eastAsia" w:ascii="仿宋" w:hAnsi="仿宋" w:eastAsia="仿宋" w:cs="仿宋_GB2312"/>
          <w:sz w:val="32"/>
          <w:szCs w:val="32"/>
          <w:u w:val="single"/>
          <w:lang w:val="en-US" w:eastAsia="zh-CN"/>
        </w:rPr>
        <w:t>的违法经营行为是以个人名义实施，</w:t>
      </w:r>
      <w:r>
        <w:rPr>
          <w:rFonts w:hint="eastAsia" w:ascii="仿宋" w:hAnsi="仿宋" w:eastAsia="仿宋" w:cs="仿宋_GB2312"/>
          <w:sz w:val="32"/>
          <w:szCs w:val="32"/>
          <w:u w:val="single"/>
        </w:rPr>
        <w:t>未建立账本账册</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rPr>
        <w:t>故无法计算违法所得</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rPr>
        <w:t>结合当事人陈述</w:t>
      </w:r>
      <w:r>
        <w:rPr>
          <w:rFonts w:hint="eastAsia" w:ascii="仿宋" w:hAnsi="仿宋" w:eastAsia="仿宋" w:cs="仿宋_GB2312"/>
          <w:sz w:val="32"/>
          <w:szCs w:val="32"/>
          <w:u w:val="single"/>
          <w:lang w:eastAsia="zh-CN"/>
        </w:rPr>
        <w:t>、</w:t>
      </w:r>
      <w:r>
        <w:rPr>
          <w:rFonts w:hint="eastAsia" w:ascii="仿宋" w:hAnsi="仿宋" w:eastAsia="仿宋" w:cs="仿宋_GB2312"/>
          <w:sz w:val="32"/>
          <w:szCs w:val="32"/>
          <w:u w:val="single"/>
        </w:rPr>
        <w:t>《财物清单》</w:t>
      </w:r>
      <w:r>
        <w:rPr>
          <w:rFonts w:hint="eastAsia" w:ascii="仿宋" w:hAnsi="仿宋" w:eastAsia="仿宋" w:cs="仿宋_GB2312"/>
          <w:sz w:val="32"/>
          <w:szCs w:val="32"/>
          <w:u w:val="single"/>
          <w:lang w:val="en-US" w:eastAsia="zh-CN"/>
        </w:rPr>
        <w:t>32</w:t>
      </w:r>
      <w:r>
        <w:rPr>
          <w:rFonts w:hint="eastAsia" w:ascii="仿宋" w:hAnsi="仿宋" w:eastAsia="仿宋" w:cs="仿宋_GB2312"/>
          <w:sz w:val="32"/>
          <w:szCs w:val="32"/>
          <w:u w:val="single"/>
        </w:rPr>
        <w:t>号，该案能认定的货值金额为</w:t>
      </w:r>
      <w:r>
        <w:rPr>
          <w:rFonts w:hint="eastAsia" w:ascii="仿宋" w:hAnsi="仿宋" w:eastAsia="仿宋" w:cs="仿宋_GB2312"/>
          <w:sz w:val="32"/>
          <w:szCs w:val="32"/>
          <w:u w:val="single"/>
          <w:lang w:val="en-US" w:eastAsia="zh-CN"/>
        </w:rPr>
        <w:t>1402.3</w:t>
      </w:r>
      <w:r>
        <w:rPr>
          <w:rFonts w:hint="eastAsia" w:ascii="仿宋" w:hAnsi="仿宋" w:eastAsia="仿宋" w:cs="仿宋_GB2312"/>
          <w:sz w:val="32"/>
          <w:szCs w:val="32"/>
          <w:u w:val="single"/>
        </w:rPr>
        <w:t>元。</w:t>
      </w:r>
      <w:r>
        <w:rPr>
          <w:rFonts w:hint="eastAsia" w:ascii="仿宋" w:hAnsi="仿宋" w:eastAsia="仿宋"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color w:val="000000"/>
          <w:sz w:val="32"/>
          <w:szCs w:val="32"/>
        </w:rPr>
        <w:t>上述事实，主要有以下证据证明：</w:t>
      </w:r>
      <w:r>
        <w:rPr>
          <w:rFonts w:hint="eastAsia" w:ascii="仿宋" w:hAnsi="仿宋" w:eastAsia="仿宋"/>
          <w:spacing w:val="-4"/>
          <w:sz w:val="32"/>
          <w:szCs w:val="32"/>
          <w:u w:val="single"/>
        </w:rPr>
        <w:t>现场笔录</w:t>
      </w:r>
      <w:r>
        <w:rPr>
          <w:rFonts w:hint="eastAsia" w:ascii="仿宋" w:hAnsi="仿宋" w:eastAsia="仿宋"/>
          <w:spacing w:val="-4"/>
          <w:sz w:val="32"/>
          <w:szCs w:val="32"/>
          <w:u w:val="single"/>
          <w:lang w:eastAsia="zh-CN"/>
        </w:rPr>
        <w:t>、</w:t>
      </w:r>
      <w:r>
        <w:rPr>
          <w:rFonts w:hint="eastAsia" w:ascii="仿宋" w:hAnsi="仿宋" w:eastAsia="仿宋"/>
          <w:spacing w:val="-4"/>
          <w:sz w:val="32"/>
          <w:szCs w:val="32"/>
          <w:u w:val="single"/>
        </w:rPr>
        <w:t>现场检查照片</w:t>
      </w:r>
      <w:r>
        <w:rPr>
          <w:rFonts w:hint="eastAsia" w:ascii="仿宋" w:hAnsi="仿宋" w:eastAsia="仿宋"/>
          <w:spacing w:val="-4"/>
          <w:sz w:val="32"/>
          <w:szCs w:val="32"/>
          <w:u w:val="single"/>
          <w:lang w:eastAsia="zh-CN"/>
        </w:rPr>
        <w:t>、</w:t>
      </w:r>
      <w:r>
        <w:rPr>
          <w:rFonts w:hint="eastAsia" w:ascii="仿宋" w:hAnsi="仿宋" w:eastAsia="仿宋"/>
          <w:spacing w:val="-4"/>
          <w:sz w:val="32"/>
          <w:szCs w:val="32"/>
          <w:u w:val="single"/>
        </w:rPr>
        <w:t>询问笔录、</w:t>
      </w:r>
      <w:r>
        <w:rPr>
          <w:rFonts w:hint="eastAsia" w:ascii="仿宋" w:hAnsi="仿宋" w:eastAsia="仿宋" w:cs="仿宋_GB2312"/>
          <w:sz w:val="32"/>
          <w:szCs w:val="32"/>
          <w:u w:val="single"/>
        </w:rPr>
        <w:t>《</w:t>
      </w:r>
      <w:r>
        <w:rPr>
          <w:rFonts w:hint="eastAsia" w:ascii="仿宋" w:hAnsi="仿宋" w:eastAsia="仿宋"/>
          <w:spacing w:val="-4"/>
          <w:sz w:val="32"/>
          <w:szCs w:val="32"/>
          <w:u w:val="single"/>
        </w:rPr>
        <w:t>财物清单》</w:t>
      </w:r>
      <w:r>
        <w:rPr>
          <w:rFonts w:hint="eastAsia" w:ascii="仿宋" w:hAnsi="仿宋" w:eastAsia="仿宋"/>
          <w:spacing w:val="-4"/>
          <w:sz w:val="32"/>
          <w:szCs w:val="32"/>
          <w:u w:val="single"/>
          <w:lang w:val="en-US" w:eastAsia="zh-CN"/>
        </w:rPr>
        <w:t>32</w:t>
      </w:r>
      <w:r>
        <w:rPr>
          <w:rFonts w:hint="eastAsia" w:ascii="仿宋" w:hAnsi="仿宋" w:eastAsia="仿宋"/>
          <w:spacing w:val="-4"/>
          <w:sz w:val="32"/>
          <w:szCs w:val="32"/>
          <w:u w:val="single"/>
        </w:rPr>
        <w:t>号</w:t>
      </w:r>
      <w:r>
        <w:rPr>
          <w:rFonts w:hint="eastAsia" w:ascii="仿宋" w:hAnsi="仿宋" w:eastAsia="仿宋" w:cs="仿宋_GB2312"/>
          <w:sz w:val="32"/>
          <w:szCs w:val="32"/>
          <w:u w:val="single"/>
          <w:lang w:val="en-US" w:eastAsia="zh-CN"/>
        </w:rPr>
        <w:t>等证据</w:t>
      </w:r>
      <w:r>
        <w:rPr>
          <w:rFonts w:hint="eastAsia" w:ascii="仿宋" w:hAnsi="仿宋" w:eastAsia="仿宋" w:cs="仿宋_GB2312"/>
          <w:sz w:val="32"/>
          <w:szCs w:val="32"/>
          <w:u w:val="single"/>
        </w:rPr>
        <w:t xml:space="preserve">材料，事实清楚，证据确凿。 </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val="en-US" w:eastAsia="zh-CN"/>
        </w:rPr>
        <w:t xml:space="preserve">                            </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 xml:space="preserve"> </w:t>
      </w:r>
      <w:r>
        <w:rPr>
          <w:rFonts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rPr>
        <w:t>根据以上查明的事实，本局于</w:t>
      </w:r>
      <w:r>
        <w:rPr>
          <w:rFonts w:hint="eastAsia" w:ascii="Times New Roman" w:hAnsi="Times New Roman" w:eastAsia="仿宋_GB2312" w:cs="仿宋"/>
          <w:bCs/>
          <w:color w:val="auto"/>
          <w:sz w:val="32"/>
          <w:szCs w:val="32"/>
          <w:u w:val="single"/>
        </w:rPr>
        <w:t>202</w:t>
      </w:r>
      <w:r>
        <w:rPr>
          <w:rFonts w:hint="eastAsia" w:ascii="Times New Roman" w:hAnsi="Times New Roman" w:eastAsia="仿宋_GB2312" w:cs="仿宋"/>
          <w:bCs/>
          <w:color w:val="auto"/>
          <w:sz w:val="32"/>
          <w:szCs w:val="32"/>
          <w:u w:val="single"/>
          <w:lang w:val="en-US" w:eastAsia="zh-CN"/>
        </w:rPr>
        <w:t>1</w:t>
      </w:r>
      <w:r>
        <w:rPr>
          <w:rFonts w:hint="eastAsia" w:ascii="Times New Roman" w:hAnsi="Times New Roman" w:eastAsia="仿宋_GB2312" w:cs="仿宋"/>
          <w:bCs/>
          <w:color w:val="auto"/>
          <w:sz w:val="32"/>
          <w:szCs w:val="32"/>
          <w:u w:val="single"/>
        </w:rPr>
        <w:t>年</w:t>
      </w:r>
      <w:r>
        <w:rPr>
          <w:rFonts w:hint="eastAsia" w:ascii="Times New Roman" w:hAnsi="Times New Roman" w:eastAsia="仿宋_GB2312" w:cs="仿宋"/>
          <w:bCs/>
          <w:color w:val="auto"/>
          <w:sz w:val="32"/>
          <w:szCs w:val="32"/>
          <w:u w:val="single"/>
          <w:lang w:val="en-US" w:eastAsia="zh-CN"/>
        </w:rPr>
        <w:t>6</w:t>
      </w:r>
      <w:r>
        <w:rPr>
          <w:rFonts w:hint="eastAsia" w:ascii="Times New Roman" w:hAnsi="Times New Roman" w:eastAsia="仿宋_GB2312" w:cs="仿宋"/>
          <w:bCs/>
          <w:color w:val="auto"/>
          <w:sz w:val="32"/>
          <w:szCs w:val="32"/>
          <w:u w:val="single"/>
        </w:rPr>
        <w:t>月</w:t>
      </w:r>
      <w:r>
        <w:rPr>
          <w:rFonts w:hint="eastAsia" w:ascii="Times New Roman" w:hAnsi="Times New Roman" w:eastAsia="仿宋_GB2312" w:cs="仿宋"/>
          <w:bCs/>
          <w:color w:val="auto"/>
          <w:sz w:val="32"/>
          <w:szCs w:val="32"/>
          <w:u w:val="single"/>
          <w:lang w:val="en-US" w:eastAsia="zh-CN"/>
        </w:rPr>
        <w:t>26</w:t>
      </w:r>
      <w:r>
        <w:rPr>
          <w:rFonts w:hint="eastAsia" w:ascii="Times New Roman" w:hAnsi="Times New Roman" w:eastAsia="仿宋_GB2312" w:cs="仿宋"/>
          <w:bCs/>
          <w:color w:val="auto"/>
          <w:sz w:val="32"/>
          <w:szCs w:val="32"/>
          <w:u w:val="single"/>
        </w:rPr>
        <w:t>日向当事人直接送达《行政处罚听证告知书》（惠湾市监西听字〔202</w:t>
      </w:r>
      <w:r>
        <w:rPr>
          <w:rFonts w:hint="eastAsia" w:ascii="Times New Roman" w:hAnsi="Times New Roman" w:eastAsia="仿宋_GB2312" w:cs="仿宋"/>
          <w:bCs/>
          <w:color w:val="auto"/>
          <w:sz w:val="32"/>
          <w:szCs w:val="32"/>
          <w:u w:val="single"/>
          <w:lang w:val="en-US" w:eastAsia="zh-CN"/>
        </w:rPr>
        <w:t>1</w:t>
      </w:r>
      <w:r>
        <w:rPr>
          <w:rFonts w:hint="eastAsia" w:ascii="Times New Roman" w:hAnsi="Times New Roman" w:eastAsia="仿宋_GB2312" w:cs="仿宋"/>
          <w:bCs/>
          <w:color w:val="auto"/>
          <w:sz w:val="32"/>
          <w:szCs w:val="32"/>
          <w:u w:val="single"/>
        </w:rPr>
        <w:t>〕2</w:t>
      </w:r>
      <w:r>
        <w:rPr>
          <w:rFonts w:hint="eastAsia" w:ascii="Times New Roman" w:hAnsi="Times New Roman" w:eastAsia="仿宋_GB2312" w:cs="仿宋"/>
          <w:bCs/>
          <w:color w:val="auto"/>
          <w:sz w:val="32"/>
          <w:szCs w:val="32"/>
          <w:u w:val="single"/>
          <w:lang w:val="en-US" w:eastAsia="zh-CN"/>
        </w:rPr>
        <w:t>1</w:t>
      </w:r>
      <w:r>
        <w:rPr>
          <w:rFonts w:hint="eastAsia" w:ascii="Times New Roman" w:hAnsi="Times New Roman" w:eastAsia="仿宋_GB2312" w:cs="仿宋"/>
          <w:bCs/>
          <w:color w:val="auto"/>
          <w:sz w:val="32"/>
          <w:szCs w:val="32"/>
          <w:u w:val="single"/>
        </w:rPr>
        <w:t>号），</w:t>
      </w:r>
      <w:r>
        <w:rPr>
          <w:rFonts w:hint="eastAsia" w:ascii="Times New Roman" w:hAnsi="Times New Roman" w:eastAsia="仿宋_GB2312" w:cs="仿宋"/>
          <w:bCs/>
          <w:color w:val="auto"/>
          <w:sz w:val="32"/>
          <w:szCs w:val="32"/>
          <w:u w:val="single"/>
          <w:lang w:val="en-US" w:eastAsia="zh-CN"/>
        </w:rPr>
        <w:t>在法定时间</w:t>
      </w:r>
      <w:r>
        <w:rPr>
          <w:rFonts w:hint="eastAsia" w:ascii="Times New Roman" w:hAnsi="Times New Roman" w:eastAsia="仿宋_GB2312" w:cs="仿宋"/>
          <w:bCs/>
          <w:color w:val="auto"/>
          <w:sz w:val="32"/>
          <w:szCs w:val="32"/>
          <w:u w:val="single"/>
        </w:rPr>
        <w:t>内未提出陈述、申辩意见，未要求</w:t>
      </w:r>
      <w:r>
        <w:rPr>
          <w:rFonts w:hint="eastAsia" w:ascii="Times New Roman" w:hAnsi="Times New Roman" w:eastAsia="仿宋_GB2312" w:cs="仿宋"/>
          <w:bCs/>
          <w:color w:val="000000"/>
          <w:sz w:val="32"/>
          <w:szCs w:val="32"/>
          <w:u w:val="single"/>
        </w:rPr>
        <w:t xml:space="preserve">举行听证。 </w:t>
      </w:r>
      <w:r>
        <w:rPr>
          <w:rFonts w:ascii="Times New Roman"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楷体_GB2312" w:hAnsi="楷体_GB2312" w:eastAsia="楷体_GB2312" w:cs="楷体_GB2312"/>
          <w:color w:val="000000"/>
          <w:sz w:val="32"/>
          <w:szCs w:val="32"/>
          <w:u w:val="single"/>
        </w:rPr>
        <w:t xml:space="preserve"> </w:t>
      </w:r>
      <w:r>
        <w:rPr>
          <w:rFonts w:hint="eastAsia" w:ascii="Times New Roman" w:hAnsi="Times New Roman" w:eastAsia="仿宋_GB2312" w:cs="仿宋"/>
          <w:color w:val="000000"/>
          <w:sz w:val="32"/>
          <w:szCs w:val="32"/>
          <w:u w:val="single"/>
        </w:rPr>
        <w:t xml:space="preserve">   当事人</w:t>
      </w:r>
      <w:r>
        <w:rPr>
          <w:rFonts w:hint="eastAsia" w:ascii="Times New Roman" w:hAnsi="Times New Roman" w:eastAsia="仿宋_GB2312" w:cs="仿宋"/>
          <w:sz w:val="32"/>
          <w:szCs w:val="32"/>
          <w:u w:val="single"/>
          <w:lang w:eastAsia="zh-CN"/>
        </w:rPr>
        <w:t>未</w:t>
      </w:r>
      <w:r>
        <w:rPr>
          <w:rFonts w:hint="eastAsia" w:ascii="Times New Roman" w:hAnsi="Times New Roman" w:eastAsia="仿宋_GB2312" w:cs="仿宋"/>
          <w:sz w:val="32"/>
          <w:szCs w:val="32"/>
          <w:u w:val="single"/>
          <w:lang w:val="en-US" w:eastAsia="zh-CN"/>
        </w:rPr>
        <w:t>取得食品经营</w:t>
      </w:r>
      <w:r>
        <w:rPr>
          <w:rFonts w:hint="eastAsia" w:ascii="Times New Roman" w:hAnsi="Times New Roman" w:eastAsia="仿宋_GB2312" w:cs="仿宋"/>
          <w:sz w:val="32"/>
          <w:szCs w:val="32"/>
          <w:u w:val="single"/>
          <w:lang w:eastAsia="zh-CN"/>
        </w:rPr>
        <w:t>许可从事餐饮服务</w:t>
      </w:r>
      <w:r>
        <w:rPr>
          <w:rFonts w:hint="eastAsia" w:ascii="Times New Roman" w:hAnsi="Times New Roman" w:eastAsia="仿宋_GB2312" w:cs="仿宋"/>
          <w:color w:val="000000"/>
          <w:sz w:val="32"/>
          <w:szCs w:val="32"/>
          <w:u w:val="single"/>
        </w:rPr>
        <w:t xml:space="preserve">的行为，违反了《中华人民共和国食品安全法》第三十五条第一款，即“国家对食品生产经营实行许可制度。从事食品生产、食品销售、餐饮服务，应当依法取得许可。”的规定。             </w:t>
      </w:r>
      <w:r>
        <w:rPr>
          <w:rFonts w:ascii="Times New Roman" w:hAnsi="Times New Roman" w:eastAsia="仿宋_GB2312"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 xml:space="preserve">    </w:t>
      </w:r>
      <w:r>
        <w:rPr>
          <w:rFonts w:hint="eastAsia" w:ascii="仿宋" w:hAnsi="仿宋" w:eastAsia="仿宋" w:cs="楷体_GB2312"/>
          <w:color w:val="000000" w:themeColor="text1"/>
          <w:sz w:val="32"/>
          <w:szCs w:val="32"/>
          <w:u w:val="single"/>
          <w14:textFill>
            <w14:solidFill>
              <w14:schemeClr w14:val="tx1"/>
            </w14:solidFill>
          </w14:textFill>
        </w:rPr>
        <w:t>鉴于当事人能从主观认识自身违法行为，自我局立案后</w:t>
      </w:r>
      <w:r>
        <w:rPr>
          <w:rFonts w:hint="eastAsia" w:ascii="Times New Roman" w:hAnsi="Times New Roman" w:eastAsia="仿宋_GB2312" w:cs="仿宋_GB2312"/>
          <w:sz w:val="32"/>
          <w:szCs w:val="32"/>
          <w:u w:val="single"/>
          <w:lang w:val="en-US" w:eastAsia="zh-CN"/>
        </w:rPr>
        <w:t>积极配合执法人员</w:t>
      </w:r>
      <w:r>
        <w:rPr>
          <w:rFonts w:hint="eastAsia" w:ascii="仿宋" w:hAnsi="仿宋" w:eastAsia="仿宋" w:cs="楷体_GB2312"/>
          <w:color w:val="000000" w:themeColor="text1"/>
          <w:sz w:val="32"/>
          <w:szCs w:val="32"/>
          <w:u w:val="single"/>
          <w14:textFill>
            <w14:solidFill>
              <w14:schemeClr w14:val="tx1"/>
            </w14:solidFill>
          </w14:textFill>
        </w:rPr>
        <w:t>调查</w:t>
      </w:r>
      <w:r>
        <w:rPr>
          <w:rFonts w:hint="eastAsia" w:ascii="仿宋" w:hAnsi="仿宋" w:eastAsia="仿宋" w:cs="楷体_GB2312"/>
          <w:color w:val="000000" w:themeColor="text1"/>
          <w:sz w:val="32"/>
          <w:szCs w:val="32"/>
          <w:u w:val="single"/>
          <w:lang w:val="en-US" w:eastAsia="zh-CN"/>
          <w14:textFill>
            <w14:solidFill>
              <w14:schemeClr w14:val="tx1"/>
            </w14:solidFill>
          </w14:textFill>
        </w:rPr>
        <w:t>取证</w:t>
      </w:r>
      <w:r>
        <w:rPr>
          <w:rFonts w:hint="eastAsia" w:ascii="仿宋" w:hAnsi="仿宋" w:eastAsia="仿宋" w:cs="楷体_GB2312"/>
          <w:color w:val="000000" w:themeColor="text1"/>
          <w:sz w:val="32"/>
          <w:szCs w:val="32"/>
          <w:u w:val="single"/>
          <w14:textFill>
            <w14:solidFill>
              <w14:schemeClr w14:val="tx1"/>
            </w14:solidFill>
          </w14:textFill>
        </w:rPr>
        <w:t>，</w:t>
      </w:r>
      <w:r>
        <w:rPr>
          <w:rFonts w:hint="eastAsia" w:ascii="Times New Roman" w:hAnsi="Times New Roman" w:eastAsia="仿宋_GB2312" w:cs="仿宋_GB2312"/>
          <w:sz w:val="32"/>
          <w:szCs w:val="32"/>
          <w:u w:val="single"/>
          <w:lang w:val="en-US" w:eastAsia="zh-CN"/>
        </w:rPr>
        <w:t>如实交代违法事实并主动提供证据材料，</w:t>
      </w:r>
      <w:r>
        <w:rPr>
          <w:rFonts w:hint="eastAsia" w:ascii="仿宋" w:hAnsi="仿宋" w:eastAsia="仿宋" w:cs="仿宋_GB2312"/>
          <w:bCs/>
          <w:color w:val="000000" w:themeColor="text1"/>
          <w:sz w:val="32"/>
          <w:szCs w:val="32"/>
          <w:u w:val="single"/>
          <w14:textFill>
            <w14:solidFill>
              <w14:schemeClr w14:val="tx1"/>
            </w14:solidFill>
          </w14:textFill>
        </w:rPr>
        <w:t>因此，结合当事人的实际情况，建议按照教育与处罚结合的原则，对当事人进行减轻处罚。</w:t>
      </w:r>
      <w:r>
        <w:rPr>
          <w:rFonts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ascii="Times New Roman"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仿宋" w:hAnsi="仿宋" w:eastAsia="仿宋" w:cs="仿宋_GB2312"/>
          <w:bCs/>
          <w:color w:val="000000" w:themeColor="text1"/>
          <w:sz w:val="32"/>
          <w:szCs w:val="32"/>
          <w:u w:val="single"/>
          <w14:textFill>
            <w14:solidFill>
              <w14:schemeClr w14:val="tx1"/>
            </w14:solidFill>
          </w14:textFill>
        </w:rPr>
      </w:pPr>
      <w:r>
        <w:rPr>
          <w:rFonts w:hint="eastAsia" w:ascii="Times New Roman" w:hAnsi="Times New Roman" w:eastAsia="仿宋_GB2312" w:cs="仿宋"/>
          <w:bCs/>
          <w:color w:val="000000"/>
          <w:sz w:val="32"/>
          <w:szCs w:val="32"/>
          <w:u w:val="single"/>
        </w:rPr>
        <w:t xml:space="preserve"> </w:t>
      </w:r>
      <w:r>
        <w:rPr>
          <w:rFonts w:ascii="Times New Roman" w:hAnsi="Times New Roman" w:eastAsia="仿宋_GB2312" w:cs="仿宋"/>
          <w:bCs/>
          <w:color w:val="000000"/>
          <w:sz w:val="32"/>
          <w:szCs w:val="32"/>
          <w:u w:val="single"/>
        </w:rPr>
        <w:t xml:space="preserve">   </w:t>
      </w:r>
      <w:r>
        <w:rPr>
          <w:rFonts w:hint="eastAsia" w:ascii="仿宋" w:hAnsi="仿宋" w:eastAsia="仿宋" w:cs="仿宋_GB2312"/>
          <w:bCs/>
          <w:color w:val="000000" w:themeColor="text1"/>
          <w:sz w:val="32"/>
          <w:szCs w:val="32"/>
          <w:u w:val="single"/>
          <w14:textFill>
            <w14:solidFill>
              <w14:schemeClr w14:val="tx1"/>
            </w14:solidFill>
          </w14:textFill>
        </w:rPr>
        <w:t>现根据《中华人民共和国食品安全法》第一百二十二条第一款，即“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r>
        <w:rPr>
          <w:rFonts w:hint="eastAsia" w:ascii="仿宋" w:hAnsi="仿宋" w:eastAsia="仿宋" w:cs="仿宋_GB2312"/>
          <w:bCs/>
          <w:color w:val="000000" w:themeColor="text1"/>
          <w:sz w:val="32"/>
          <w:szCs w:val="32"/>
          <w:u w:val="single"/>
          <w:lang w:eastAsia="zh-CN"/>
          <w14:textFill>
            <w14:solidFill>
              <w14:schemeClr w14:val="tx1"/>
            </w14:solidFill>
          </w14:textFill>
        </w:rPr>
        <w:t>。</w:t>
      </w:r>
      <w:r>
        <w:rPr>
          <w:rFonts w:hint="eastAsia" w:ascii="仿宋" w:hAnsi="仿宋" w:eastAsia="仿宋" w:cs="仿宋_GB2312"/>
          <w:bCs/>
          <w:color w:val="000000" w:themeColor="text1"/>
          <w:sz w:val="32"/>
          <w:szCs w:val="32"/>
          <w:u w:val="single"/>
          <w14:textFill>
            <w14:solidFill>
              <w14:schemeClr w14:val="tx1"/>
            </w14:solidFill>
          </w14:textFill>
        </w:rPr>
        <w:t>”</w:t>
      </w:r>
      <w:r>
        <w:rPr>
          <w:rFonts w:hint="eastAsia" w:ascii="仿宋" w:hAnsi="仿宋" w:eastAsia="仿宋" w:cs="仿宋_GB2312"/>
          <w:bCs/>
          <w:color w:val="000000" w:themeColor="text1"/>
          <w:sz w:val="32"/>
          <w:szCs w:val="32"/>
          <w:u w:val="single"/>
          <w:lang w:eastAsia="zh-CN"/>
          <w14:textFill>
            <w14:solidFill>
              <w14:schemeClr w14:val="tx1"/>
            </w14:solidFill>
          </w14:textFill>
        </w:rPr>
        <w:t>、</w:t>
      </w:r>
      <w:r>
        <w:rPr>
          <w:rFonts w:hint="eastAsia" w:ascii="仿宋" w:hAnsi="仿宋" w:eastAsia="仿宋" w:cs="仿宋_GB2312"/>
          <w:bCs/>
          <w:color w:val="000000" w:themeColor="text1"/>
          <w:sz w:val="32"/>
          <w:szCs w:val="32"/>
          <w:u w:val="single"/>
          <w14:textFill>
            <w14:solidFill>
              <w14:schemeClr w14:val="tx1"/>
            </w14:solidFill>
          </w14:textFill>
        </w:rPr>
        <w:t>《中华人民共和国行政处罚法》第二十七条第一款第（四）项，即“当事人有下列情形之一的，应当依法从轻或者减轻行政处罚：（四）其他依法从轻或者减轻行政处罚的。”</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w:t>
      </w:r>
      <w:r>
        <w:rPr>
          <w:rFonts w:hint="eastAsia" w:ascii="Times New Roman" w:hAnsi="Times New Roman" w:eastAsia="仿宋_GB2312" w:cs="仿宋_GB2312"/>
          <w:sz w:val="32"/>
          <w:szCs w:val="32"/>
          <w:u w:val="single"/>
          <w:lang w:val="en-US" w:eastAsia="zh-CN"/>
        </w:rPr>
        <w:t>《广东省市场监督管理局关于行政处罚自由裁量权的适用规则》第十七条第一项，即“有下列情形之一的，应当依法从轻或者减轻行政处罚：（一）积极配合市场监督管理部门调查，如实交代违法事实并主动提供证据材料的。”及</w:t>
      </w:r>
      <w:r>
        <w:rPr>
          <w:rFonts w:hint="eastAsia" w:ascii="仿宋" w:hAnsi="仿宋" w:eastAsia="仿宋" w:cs="仿宋_GB2312"/>
          <w:bCs/>
          <w:color w:val="000000" w:themeColor="text1"/>
          <w:sz w:val="32"/>
          <w:szCs w:val="32"/>
          <w:u w:val="single"/>
          <w14:textFill>
            <w14:solidFill>
              <w14:schemeClr w14:val="tx1"/>
            </w14:solidFill>
          </w14:textFill>
        </w:rPr>
        <w:t>《中华人民共和国行政处罚法》</w:t>
      </w:r>
      <w:r>
        <w:rPr>
          <w:rFonts w:hint="eastAsia" w:ascii="Times New Roman" w:hAnsi="Times New Roman" w:eastAsia="仿宋_GB2312" w:cs="仿宋_GB2312"/>
          <w:sz w:val="32"/>
          <w:szCs w:val="32"/>
          <w:u w:val="single"/>
          <w:lang w:val="en-US" w:eastAsia="zh-CN"/>
        </w:rPr>
        <w:t>第二十三条，</w:t>
      </w:r>
      <w:r>
        <w:rPr>
          <w:rFonts w:hint="eastAsia" w:ascii="仿宋" w:hAnsi="仿宋" w:eastAsia="仿宋" w:cs="仿宋_GB2312"/>
          <w:bCs/>
          <w:color w:val="000000" w:themeColor="text1"/>
          <w:sz w:val="32"/>
          <w:szCs w:val="32"/>
          <w:u w:val="single"/>
          <w14:textFill>
            <w14:solidFill>
              <w14:schemeClr w14:val="tx1"/>
            </w14:solidFill>
          </w14:textFill>
        </w:rPr>
        <w:t>即“</w:t>
      </w:r>
      <w:r>
        <w:rPr>
          <w:rFonts w:hint="eastAsia" w:ascii="Times New Roman" w:hAnsi="Times New Roman" w:eastAsia="仿宋_GB2312" w:cs="仿宋_GB2312"/>
          <w:sz w:val="32"/>
          <w:szCs w:val="32"/>
          <w:u w:val="single"/>
          <w:lang w:val="en-US" w:eastAsia="zh-CN"/>
        </w:rPr>
        <w:t>行政机关实施行政处罚时，应当责令当事人改正或者限期改正违法行为。”的规定</w:t>
      </w:r>
      <w:r>
        <w:rPr>
          <w:rFonts w:hint="eastAsia" w:ascii="仿宋" w:hAnsi="仿宋" w:eastAsia="仿宋" w:cs="仿宋_GB2312"/>
          <w:bCs/>
          <w:color w:val="000000" w:themeColor="text1"/>
          <w:sz w:val="32"/>
          <w:szCs w:val="32"/>
          <w:u w:val="single"/>
          <w14:textFill>
            <w14:solidFill>
              <w14:schemeClr w14:val="tx1"/>
            </w14:solidFill>
          </w14:textFill>
        </w:rPr>
        <w:t>,责令当事人立即停止违法经营活动，并</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决定</w:t>
      </w:r>
      <w:r>
        <w:rPr>
          <w:rFonts w:hint="eastAsia" w:ascii="仿宋" w:hAnsi="仿宋" w:eastAsia="仿宋" w:cs="仿宋_GB2312"/>
          <w:bCs/>
          <w:color w:val="000000" w:themeColor="text1"/>
          <w:sz w:val="32"/>
          <w:szCs w:val="32"/>
          <w:u w:val="single"/>
          <w14:textFill>
            <w14:solidFill>
              <w14:schemeClr w14:val="tx1"/>
            </w14:solidFill>
          </w14:textFill>
        </w:rPr>
        <w:t>对当事人</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作出</w:t>
      </w:r>
      <w:r>
        <w:rPr>
          <w:rFonts w:hint="eastAsia" w:ascii="仿宋" w:hAnsi="仿宋" w:eastAsia="仿宋" w:cs="仿宋_GB2312"/>
          <w:bCs/>
          <w:color w:val="000000" w:themeColor="text1"/>
          <w:sz w:val="32"/>
          <w:szCs w:val="32"/>
          <w:u w:val="single"/>
          <w14:textFill>
            <w14:solidFill>
              <w14:schemeClr w14:val="tx1"/>
            </w14:solidFill>
          </w14:textFill>
        </w:rPr>
        <w:t xml:space="preserve">以下减轻行政处罚：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仿宋" w:hAnsi="仿宋" w:eastAsia="仿宋" w:cs="仿宋_GB2312"/>
          <w:bCs/>
          <w:color w:val="000000" w:themeColor="text1"/>
          <w:sz w:val="32"/>
          <w:szCs w:val="32"/>
          <w:u w:val="single"/>
          <w14:textFill>
            <w14:solidFill>
              <w14:schemeClr w14:val="tx1"/>
            </w14:solidFill>
          </w14:textFill>
        </w:rPr>
      </w:pPr>
      <w:r>
        <w:rPr>
          <w:rFonts w:hint="eastAsia" w:ascii="仿宋" w:hAnsi="仿宋" w:eastAsia="仿宋" w:cs="仿宋_GB2312"/>
          <w:bCs/>
          <w:color w:val="000000" w:themeColor="text1"/>
          <w:sz w:val="32"/>
          <w:szCs w:val="32"/>
          <w:u w:val="single"/>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14:textFill>
            <w14:solidFill>
              <w14:schemeClr w14:val="tx1"/>
            </w14:solidFill>
          </w14:textFill>
        </w:rPr>
        <w:t>一、罚款人民币伍仟元整（</w:t>
      </w:r>
      <w:r>
        <w:rPr>
          <w:rFonts w:eastAsia="仿宋" w:cs="Calibri"/>
          <w:bCs/>
          <w:color w:val="000000" w:themeColor="text1"/>
          <w:sz w:val="32"/>
          <w:szCs w:val="32"/>
          <w:u w:val="single"/>
          <w14:textFill>
            <w14:solidFill>
              <w14:schemeClr w14:val="tx1"/>
            </w14:solidFill>
          </w14:textFill>
        </w:rPr>
        <w:t>¥</w:t>
      </w:r>
      <w:r>
        <w:rPr>
          <w:rFonts w:hint="eastAsia" w:ascii="仿宋" w:hAnsi="仿宋" w:eastAsia="仿宋" w:cs="仿宋_GB2312"/>
          <w:bCs/>
          <w:color w:val="000000" w:themeColor="text1"/>
          <w:sz w:val="32"/>
          <w:szCs w:val="32"/>
          <w:u w:val="single"/>
          <w14:textFill>
            <w14:solidFill>
              <w14:schemeClr w14:val="tx1"/>
            </w14:solidFill>
          </w14:textFill>
        </w:rPr>
        <w:t xml:space="preserve">5000.00）；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仿宋" w:hAnsi="仿宋" w:eastAsia="仿宋" w:cs="仿宋_GB2312"/>
          <w:bCs/>
          <w:color w:val="000000" w:themeColor="text1"/>
          <w:sz w:val="32"/>
          <w:szCs w:val="32"/>
          <w:u w:val="single"/>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14:textFill>
            <w14:solidFill>
              <w14:schemeClr w14:val="tx1"/>
            </w14:solidFill>
          </w14:textFill>
        </w:rPr>
        <w:t>二、没收用于违法经营的</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食品及工具</w:t>
      </w:r>
      <w:r>
        <w:rPr>
          <w:rFonts w:hint="eastAsia" w:ascii="仿宋" w:hAnsi="仿宋" w:eastAsia="仿宋" w:cs="仿宋_GB2312"/>
          <w:bCs/>
          <w:color w:val="000000" w:themeColor="text1"/>
          <w:sz w:val="32"/>
          <w:szCs w:val="32"/>
          <w:u w:val="single"/>
          <w14:textFill>
            <w14:solidFill>
              <w14:schemeClr w14:val="tx1"/>
            </w14:solidFill>
          </w14:textFill>
        </w:rPr>
        <w:t>。</w:t>
      </w:r>
      <w:r>
        <w:rPr>
          <w:rFonts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14:textFill>
            <w14:solidFill>
              <w14:schemeClr w14:val="tx1"/>
            </w14:solidFill>
          </w14:textFill>
        </w:rPr>
        <w:t xml:space="preserve"> </w:t>
      </w:r>
      <w:r>
        <w:rPr>
          <w:rFonts w:ascii="仿宋" w:hAnsi="仿宋" w:eastAsia="仿宋" w:cs="仿宋_GB2312"/>
          <w:bCs/>
          <w:color w:val="000000" w:themeColor="text1"/>
          <w:sz w:val="32"/>
          <w:szCs w:val="32"/>
          <w:u w:val="single"/>
          <w14:textFill>
            <w14:solidFill>
              <w14:schemeClr w14:val="tx1"/>
            </w14:solidFill>
          </w14:textFill>
        </w:rPr>
        <w:t xml:space="preserve">    </w:t>
      </w:r>
      <w:r>
        <w:rPr>
          <w:rFonts w:hint="eastAsia" w:ascii="仿宋" w:hAnsi="仿宋" w:eastAsia="仿宋" w:cs="仿宋_GB2312"/>
          <w:bCs/>
          <w:color w:val="000000" w:themeColor="text1"/>
          <w:sz w:val="32"/>
          <w:szCs w:val="32"/>
          <w:u w:val="single"/>
          <w:lang w:val="en-US" w:eastAsia="zh-CN"/>
          <w14:textFill>
            <w14:solidFill>
              <w14:schemeClr w14:val="tx1"/>
            </w14:solidFill>
          </w14:textFill>
        </w:rPr>
        <w:t xml:space="preserve">         </w:t>
      </w:r>
      <w:r>
        <w:rPr>
          <w:rFonts w:ascii="Times New Roman"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仿宋" w:hAnsi="仿宋" w:eastAsia="仿宋" w:cs="楷体_GB2312"/>
          <w:color w:val="000000"/>
          <w:sz w:val="32"/>
          <w:szCs w:val="32"/>
          <w:u w:val="single"/>
        </w:rPr>
      </w:pPr>
      <w:r>
        <w:rPr>
          <w:rFonts w:hint="eastAsia" w:ascii="Times New Roman" w:hAnsi="Times New Roman" w:eastAsia="仿宋_GB2312" w:cs="仿宋"/>
          <w:bCs/>
          <w:color w:val="000000"/>
          <w:sz w:val="32"/>
          <w:szCs w:val="32"/>
          <w:u w:val="single"/>
        </w:rPr>
        <w:t xml:space="preserve">    </w:t>
      </w:r>
      <w:r>
        <w:rPr>
          <w:rFonts w:hint="eastAsia" w:ascii="仿宋" w:hAnsi="仿宋" w:eastAsia="仿宋" w:cs="楷体_GB2312"/>
          <w:color w:val="000000"/>
          <w:sz w:val="32"/>
          <w:szCs w:val="32"/>
          <w:u w:val="single"/>
        </w:rPr>
        <w:t xml:space="preserve">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五十一条第（一）项的规定，每日按罚款数额的3%加处罚款，并依法申请人民法院强制执行。  </w:t>
      </w:r>
      <w:r>
        <w:rPr>
          <w:rFonts w:ascii="仿宋" w:hAnsi="仿宋" w:eastAsia="仿宋" w:cs="楷体_GB2312"/>
          <w:color w:val="000000"/>
          <w:sz w:val="32"/>
          <w:szCs w:val="32"/>
          <w:u w:val="single"/>
        </w:rPr>
        <w:t xml:space="preserve">          </w:t>
      </w:r>
      <w:r>
        <w:rPr>
          <w:rFonts w:hint="eastAsia" w:ascii="仿宋" w:hAnsi="仿宋" w:eastAsia="仿宋" w:cs="楷体_GB2312"/>
          <w:color w:val="000000"/>
          <w:sz w:val="32"/>
          <w:szCs w:val="32"/>
          <w:u w:val="single"/>
        </w:rPr>
        <w:t xml:space="preserve"> </w:t>
      </w:r>
      <w:r>
        <w:rPr>
          <w:rFonts w:ascii="仿宋" w:hAnsi="仿宋" w:eastAsia="仿宋" w:cs="楷体_GB2312"/>
          <w:color w:val="000000"/>
          <w:sz w:val="32"/>
          <w:szCs w:val="32"/>
          <w:u w:val="single"/>
        </w:rPr>
        <w:t xml:space="preserve">      </w:t>
      </w:r>
      <w:r>
        <w:rPr>
          <w:rFonts w:hint="eastAsia" w:ascii="仿宋" w:hAnsi="仿宋" w:eastAsia="仿宋" w:cs="楷体_GB2312"/>
          <w:color w:val="000000"/>
          <w:sz w:val="32"/>
          <w:szCs w:val="32"/>
          <w:u w:val="single"/>
        </w:rPr>
        <w:t xml:space="preserve">  </w:t>
      </w:r>
      <w:r>
        <w:rPr>
          <w:rFonts w:ascii="仿宋" w:hAnsi="仿宋" w:eastAsia="仿宋" w:cs="楷体_GB2312"/>
          <w:color w:val="000000"/>
          <w:sz w:val="32"/>
          <w:szCs w:val="32"/>
          <w:u w:val="single"/>
        </w:rPr>
        <w:t xml:space="preserve">  </w:t>
      </w:r>
      <w:r>
        <w:rPr>
          <w:rFonts w:hint="eastAsia" w:ascii="仿宋" w:hAnsi="仿宋" w:eastAsia="仿宋" w:cs="楷体_GB2312"/>
          <w:color w:val="000000"/>
          <w:sz w:val="32"/>
          <w:szCs w:val="32"/>
          <w:u w:val="single"/>
          <w:lang w:val="en-US" w:eastAsia="zh-CN"/>
        </w:rPr>
        <w:t xml:space="preserve">            </w:t>
      </w:r>
      <w:r>
        <w:rPr>
          <w:rFonts w:ascii="仿宋" w:hAnsi="仿宋" w:eastAsia="仿宋" w:cs="楷体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Times New Roman" w:hAnsi="Times New Roman" w:eastAsia="仿宋_GB2312" w:cs="仿宋"/>
          <w:bCs/>
          <w:color w:val="000000"/>
          <w:sz w:val="32"/>
          <w:szCs w:val="32"/>
          <w:u w:val="single"/>
        </w:rPr>
      </w:pPr>
      <w:r>
        <w:rPr>
          <w:rFonts w:hint="eastAsia" w:ascii="仿宋" w:hAnsi="仿宋" w:eastAsia="仿宋" w:cs="楷体_GB2312"/>
          <w:color w:val="000000"/>
          <w:sz w:val="32"/>
          <w:szCs w:val="32"/>
          <w:u w:val="single"/>
        </w:rPr>
        <w:t xml:space="preserve">    </w:t>
      </w:r>
      <w:r>
        <w:rPr>
          <w:rFonts w:hint="eastAsia" w:ascii="Times New Roman" w:hAnsi="Times New Roman" w:eastAsia="仿宋_GB2312" w:cs="仿宋"/>
          <w:bCs/>
          <w:color w:val="000000"/>
          <w:sz w:val="32"/>
          <w:szCs w:val="32"/>
          <w:u w:val="single"/>
        </w:rPr>
        <w:t>如不服本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w:t>
      </w:r>
      <w:r>
        <w:rPr>
          <w:rFonts w:hint="eastAsia" w:ascii="Times New Roman" w:hAnsi="Times New Roman" w:eastAsia="仿宋_GB2312" w:cs="仿宋"/>
          <w:bCs/>
          <w:color w:val="000000"/>
          <w:sz w:val="32"/>
          <w:szCs w:val="32"/>
          <w:u w:val="single"/>
          <w:lang w:val="en-US" w:eastAsia="zh-CN"/>
        </w:rPr>
        <w:t>可以</w:t>
      </w:r>
      <w:r>
        <w:rPr>
          <w:rFonts w:hint="eastAsia" w:ascii="Times New Roman" w:hAnsi="Times New Roman" w:eastAsia="仿宋_GB2312" w:cs="仿宋"/>
          <w:bCs/>
          <w:color w:val="000000"/>
          <w:sz w:val="32"/>
          <w:szCs w:val="32"/>
          <w:u w:val="single"/>
        </w:rPr>
        <w:t>在</w:t>
      </w:r>
      <w:r>
        <w:rPr>
          <w:rFonts w:hint="eastAsia" w:ascii="Times New Roman" w:hAnsi="Times New Roman" w:eastAsia="仿宋_GB2312" w:cs="仿宋"/>
          <w:bCs/>
          <w:color w:val="000000"/>
          <w:sz w:val="32"/>
          <w:szCs w:val="32"/>
          <w:u w:val="single"/>
          <w:lang w:val="en-US" w:eastAsia="zh-CN"/>
        </w:rPr>
        <w:t>收</w:t>
      </w:r>
      <w:r>
        <w:rPr>
          <w:rFonts w:hint="eastAsia" w:ascii="Times New Roman" w:hAnsi="Times New Roman" w:eastAsia="仿宋_GB2312" w:cs="仿宋"/>
          <w:bCs/>
          <w:color w:val="000000"/>
          <w:sz w:val="32"/>
          <w:szCs w:val="32"/>
          <w:u w:val="single"/>
        </w:rPr>
        <w:t>到本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处罚决定书之日起</w:t>
      </w:r>
      <w:r>
        <w:rPr>
          <w:rFonts w:hint="eastAsia" w:ascii="Times New Roman" w:hAnsi="Times New Roman" w:eastAsia="仿宋_GB2312" w:cs="仿宋"/>
          <w:bCs/>
          <w:color w:val="000000"/>
          <w:sz w:val="32"/>
          <w:szCs w:val="32"/>
          <w:u w:val="single"/>
          <w:lang w:val="en-US" w:eastAsia="zh-CN"/>
        </w:rPr>
        <w:t>六十</w:t>
      </w:r>
      <w:r>
        <w:rPr>
          <w:rFonts w:hint="eastAsia" w:ascii="Times New Roman" w:hAnsi="Times New Roman" w:eastAsia="仿宋_GB2312" w:cs="仿宋"/>
          <w:bCs/>
          <w:color w:val="000000"/>
          <w:sz w:val="32"/>
          <w:szCs w:val="32"/>
          <w:u w:val="single"/>
        </w:rPr>
        <w:t>日内向惠州大亚湾经济技术开发区管理委员会申请行政复议</w:t>
      </w:r>
      <w:r>
        <w:rPr>
          <w:rFonts w:hint="eastAsia" w:ascii="Times New Roman" w:hAnsi="Times New Roman" w:eastAsia="仿宋_GB2312" w:cs="仿宋"/>
          <w:bCs/>
          <w:color w:val="000000"/>
          <w:sz w:val="32"/>
          <w:szCs w:val="32"/>
          <w:u w:val="single"/>
          <w:lang w:eastAsia="zh-CN"/>
        </w:rPr>
        <w:t>；</w:t>
      </w:r>
      <w:r>
        <w:rPr>
          <w:rFonts w:hint="eastAsia" w:ascii="Times New Roman" w:hAnsi="Times New Roman" w:eastAsia="仿宋_GB2312" w:cs="仿宋"/>
          <w:bCs/>
          <w:color w:val="000000"/>
          <w:sz w:val="32"/>
          <w:szCs w:val="32"/>
          <w:u w:val="single"/>
        </w:rPr>
        <w:t>也</w:t>
      </w:r>
      <w:r>
        <w:rPr>
          <w:rFonts w:hint="eastAsia" w:ascii="Times New Roman" w:hAnsi="Times New Roman" w:eastAsia="仿宋_GB2312" w:cs="仿宋"/>
          <w:bCs/>
          <w:color w:val="000000"/>
          <w:sz w:val="32"/>
          <w:szCs w:val="32"/>
          <w:u w:val="single"/>
          <w:lang w:val="en-US" w:eastAsia="zh-CN"/>
        </w:rPr>
        <w:t>可以在六</w:t>
      </w:r>
      <w:r>
        <w:rPr>
          <w:rFonts w:hint="eastAsia" w:ascii="Times New Roman" w:hAnsi="Times New Roman" w:eastAsia="仿宋_GB2312" w:cs="仿宋"/>
          <w:bCs/>
          <w:color w:val="000000"/>
          <w:sz w:val="32"/>
          <w:szCs w:val="32"/>
          <w:u w:val="single"/>
        </w:rPr>
        <w:t>个月内</w:t>
      </w:r>
      <w:r>
        <w:rPr>
          <w:rFonts w:hint="eastAsia" w:ascii="Times New Roman" w:hAnsi="Times New Roman" w:eastAsia="仿宋_GB2312" w:cs="仿宋"/>
          <w:bCs/>
          <w:color w:val="000000"/>
          <w:sz w:val="32"/>
          <w:szCs w:val="32"/>
          <w:u w:val="single"/>
          <w:lang w:val="en-US" w:eastAsia="zh-CN"/>
        </w:rPr>
        <w:t>依法</w:t>
      </w:r>
      <w:r>
        <w:rPr>
          <w:rFonts w:hint="eastAsia" w:ascii="Times New Roman" w:hAnsi="Times New Roman" w:eastAsia="仿宋_GB2312" w:cs="仿宋"/>
          <w:bCs/>
          <w:color w:val="000000"/>
          <w:sz w:val="32"/>
          <w:szCs w:val="32"/>
          <w:u w:val="single"/>
        </w:rPr>
        <w:t>向博罗县人民法院提起行政诉讼。</w:t>
      </w:r>
      <w:r>
        <w:rPr>
          <w:rFonts w:hint="eastAsia" w:ascii="Times New Roman" w:hAnsi="Times New Roman" w:eastAsia="仿宋_GB2312" w:cs="仿宋"/>
          <w:bCs/>
          <w:color w:val="000000"/>
          <w:sz w:val="32"/>
          <w:szCs w:val="32"/>
          <w:u w:val="single"/>
          <w:lang w:val="en-US" w:eastAsia="zh-CN"/>
        </w:rPr>
        <w:t>申请行政复议或者提起行政诉讼期间，行政处罚不停止执行。</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601"/>
        <w:jc w:val="righ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ind w:firstLine="601"/>
        <w:jc w:val="righ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ind w:firstLine="601"/>
        <w:jc w:val="right"/>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20" w:lineRule="exact"/>
        <w:ind w:firstLine="5120" w:firstLineChars="1600"/>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520" w:lineRule="exact"/>
        <w:ind w:firstLine="4480" w:firstLineChars="1400"/>
        <w:textAlignment w:val="auto"/>
        <w:rPr>
          <w:rFonts w:hint="eastAsia" w:ascii="Times New Roman" w:hAnsi="Times New Roman" w:eastAsia="仿宋_GB2312" w:cs="仿宋"/>
          <w:color w:val="auto"/>
          <w:sz w:val="32"/>
          <w:szCs w:val="32"/>
        </w:rPr>
      </w:pPr>
      <w:r>
        <w:rPr>
          <w:rFonts w:hint="eastAsia" w:ascii="Times New Roman" w:hAnsi="Times New Roman" w:eastAsia="仿宋_GB2312" w:cs="仿宋"/>
          <w:color w:val="auto"/>
          <w:sz w:val="32"/>
          <w:szCs w:val="32"/>
        </w:rPr>
        <w:t>202</w:t>
      </w:r>
      <w:r>
        <w:rPr>
          <w:rFonts w:hint="eastAsia" w:ascii="Times New Roman" w:hAnsi="Times New Roman" w:eastAsia="仿宋_GB2312" w:cs="仿宋"/>
          <w:color w:val="auto"/>
          <w:sz w:val="32"/>
          <w:szCs w:val="32"/>
          <w:lang w:val="en-US" w:eastAsia="zh-CN"/>
        </w:rPr>
        <w:t>1</w:t>
      </w:r>
      <w:r>
        <w:rPr>
          <w:rFonts w:hint="eastAsia" w:ascii="Times New Roman" w:hAnsi="Times New Roman" w:eastAsia="仿宋_GB2312" w:cs="仿宋"/>
          <w:color w:val="auto"/>
          <w:sz w:val="32"/>
          <w:szCs w:val="32"/>
        </w:rPr>
        <w:t>年</w:t>
      </w:r>
      <w:r>
        <w:rPr>
          <w:rFonts w:hint="eastAsia" w:ascii="Times New Roman" w:hAnsi="Times New Roman" w:eastAsia="仿宋_GB2312" w:cs="仿宋"/>
          <w:color w:val="auto"/>
          <w:sz w:val="32"/>
          <w:szCs w:val="32"/>
          <w:lang w:val="en-US" w:eastAsia="zh-CN"/>
        </w:rPr>
        <w:t>7</w:t>
      </w:r>
      <w:r>
        <w:rPr>
          <w:rFonts w:hint="eastAsia" w:ascii="Times New Roman" w:hAnsi="Times New Roman" w:eastAsia="仿宋_GB2312" w:cs="仿宋"/>
          <w:color w:val="auto"/>
          <w:sz w:val="32"/>
          <w:szCs w:val="32"/>
        </w:rPr>
        <w:t>月</w:t>
      </w:r>
      <w:r>
        <w:rPr>
          <w:rFonts w:hint="eastAsia" w:ascii="Times New Roman" w:hAnsi="Times New Roman" w:eastAsia="仿宋_GB2312" w:cs="仿宋"/>
          <w:color w:val="auto"/>
          <w:sz w:val="32"/>
          <w:szCs w:val="32"/>
          <w:lang w:val="en-US" w:eastAsia="zh-CN"/>
        </w:rPr>
        <w:t>1</w:t>
      </w:r>
      <w:r>
        <w:rPr>
          <w:rFonts w:hint="eastAsia" w:ascii="Times New Roman" w:hAnsi="Times New Roman" w:eastAsia="仿宋_GB2312" w:cs="仿宋"/>
          <w:color w:val="auto"/>
          <w:sz w:val="32"/>
          <w:szCs w:val="32"/>
        </w:rPr>
        <w:t>日</w:t>
      </w:r>
    </w:p>
    <w:p>
      <w:pPr>
        <w:keepNext w:val="0"/>
        <w:keepLines w:val="0"/>
        <w:pageBreakBefore w:val="0"/>
        <w:widowControl w:val="0"/>
        <w:kinsoku/>
        <w:wordWrap/>
        <w:overflowPunct/>
        <w:topLinePunct w:val="0"/>
        <w:autoSpaceDE/>
        <w:autoSpaceDN/>
        <w:bidi w:val="0"/>
        <w:adjustRightInd/>
        <w:snapToGrid w:val="0"/>
        <w:spacing w:line="520" w:lineRule="exact"/>
        <w:ind w:firstLine="4480" w:firstLineChars="1400"/>
        <w:textAlignment w:val="auto"/>
        <w:rPr>
          <w:rFonts w:hint="eastAsia" w:ascii="Times New Roman" w:hAnsi="Times New Roman" w:eastAsia="仿宋_GB2312" w:cs="仿宋"/>
          <w:color w:val="FF0000"/>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ascii="黑体" w:hAnsi="黑体" w:eastAsia="黑体" w:cs="黑体"/>
          <w:color w:val="000000"/>
          <w:sz w:val="28"/>
          <w:szCs w:val="28"/>
        </w:rPr>
      </w:pPr>
      <w:r>
        <w:rPr>
          <w:rFonts w:hint="eastAsia" w:ascii="黑体" w:hAnsi="黑体" w:eastAsia="黑体" w:cs="黑体"/>
          <w:color w:val="000000"/>
          <w:sz w:val="30"/>
          <w:szCs w:val="30"/>
        </w:rPr>
        <w:t>（市场监督管理部门将依法向社会公示本行政处罚决定信息）</w:t>
      </w:r>
    </w:p>
    <w:p>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column">
                  <wp:posOffset>156845</wp:posOffset>
                </wp:positionH>
                <wp:positionV relativeFrom="paragraph">
                  <wp:posOffset>55245</wp:posOffset>
                </wp:positionV>
                <wp:extent cx="5861050" cy="34290"/>
                <wp:effectExtent l="0" t="7620" r="6350" b="15240"/>
                <wp:wrapNone/>
                <wp:docPr id="11" name="直接连接符 11"/>
                <wp:cNvGraphicFramePr/>
                <a:graphic xmlns:a="http://schemas.openxmlformats.org/drawingml/2006/main">
                  <a:graphicData uri="http://schemas.microsoft.com/office/word/2010/wordprocessingShape">
                    <wps:wsp>
                      <wps:cNvCnPr/>
                      <wps:spPr>
                        <a:xfrm flipV="1">
                          <a:off x="0" y="0"/>
                          <a:ext cx="5861050" cy="3429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2.35pt;margin-top:4.35pt;height:2.7pt;width:461.5pt;z-index:251662336;mso-width-relative:page;mso-height-relative:page;" filled="f" stroked="t" coordsize="21600,21600" o:gfxdata="UEsDBAoAAAAAAIdO4kAAAAAAAAAAAAAAAAAEAAAAZHJzL1BLAwQUAAAACACHTuJAkCdsDNQAAAAH&#10;AQAADwAAAGRycy9kb3ducmV2LnhtbE2Oy07DMBBF90j8gzWV2FE7VURDiFOJl4QEmzZ8wDQekqh+&#10;hNhpy98zrOhqZnSP7pxqc3ZWHGmKQ/AasqUCQb4NZvCdhs/m9bYAERN6gzZ40vBDETb19VWFpQkn&#10;v6XjLnWCS3wsUUOf0lhKGdueHMZlGMlz9hUmh4nPqZNmwhOXOytXSt1Jh4PnDz2O9NRTe9jNTsOq&#10;mdX741sh7fjdbJuXD3weImp9s8jUA4hE5/QPw58+q0PNTvswexOF5Y58zaSGggfH9/malz1zeQay&#10;ruSlf/0LUEsDBBQAAAAIAIdO4kCAQQ4J3wEAAJsDAAAOAAAAZHJzL2Uyb0RvYy54bWytU0uOEzEQ&#10;3SNxB8t70kkgQ2ilM4sJwwZBJD77ij9pS/7JZdLJJbgAEjtYsZw9t2E4BmUnhN8GIXpRsqvKr+q9&#10;ql5c7p1lO5XQBN/xyWjMmfIiSOO3HX/18vrenDPM4CXY4FXHDwr55fLuncUQWzUNfbBSJUYgHtsh&#10;drzPObZNg6JXDnAUovIU1CE5yHRN20YmGAjd2WY6Hl80Q0gypiAUInlXxyBfVnytlcjPtUaVme04&#10;9ZarTdVuim2WC2i3CWJvxKkN+IcuHBhPRc9QK8jA3iTzB5QzIgUMOo9EcE3Q2ghVORCbyfg3Ni96&#10;iKpyIXEwnmXC/wcrnu3WiRlJs5tw5sHRjG7f3Xx5++Hr5/dkbz99ZBQhmYaILWVf+XU63TCuU+G8&#10;18kxbU18TShVBeLF9lXkw1lktc9MkHM2v5iMZzQLQbH7D6aP6hCaI0yBiwnzExUcK4eOW+OLBtDC&#10;7ilmKk2p31OK23o2UN3Z/OGMMIF2SFvIdHSRWKHf1scYrJHXxtryBNN2c2UT20HZivoVhgT8S1qp&#10;sgLsj3k1dNyXXoF87CXLh0hyeVpsXnpwSnJmFf0H5USA0GYw9m8yqbT11EER+ShrOW2CPFS1q582&#10;oPZ42tayYj/f6+sf/9Ty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JAnbAzUAAAABwEAAA8AAAAA&#10;AAAAAQAgAAAAIgAAAGRycy9kb3ducmV2LnhtbFBLAQIUABQAAAAIAIdO4kCAQQ4J3wEAAJsDAAAO&#10;AAAAAAAAAAEAIAAAACMBAABkcnMvZTJvRG9jLnhtbFBLBQYAAAAABgAGAFkBAAB0BQ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二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276" w:bottom="986"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page</w:instrText>
    </w:r>
    <w:r>
      <w:rPr>
        <w:sz w:val="28"/>
        <w:szCs w:val="28"/>
      </w:rPr>
      <w:instrText xml:space="preserv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 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3</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D60EF"/>
    <w:rsid w:val="0011607C"/>
    <w:rsid w:val="003C4EF2"/>
    <w:rsid w:val="006C3DC0"/>
    <w:rsid w:val="0076038D"/>
    <w:rsid w:val="007838C2"/>
    <w:rsid w:val="009B71CA"/>
    <w:rsid w:val="00B4607E"/>
    <w:rsid w:val="00C513FA"/>
    <w:rsid w:val="00F2210A"/>
    <w:rsid w:val="00F861DF"/>
    <w:rsid w:val="01370045"/>
    <w:rsid w:val="0AC70758"/>
    <w:rsid w:val="157D7F24"/>
    <w:rsid w:val="1CDE1116"/>
    <w:rsid w:val="1FBF354A"/>
    <w:rsid w:val="1FC52313"/>
    <w:rsid w:val="207B2863"/>
    <w:rsid w:val="21105388"/>
    <w:rsid w:val="272305BC"/>
    <w:rsid w:val="28DC6C67"/>
    <w:rsid w:val="2EDE60BC"/>
    <w:rsid w:val="393A5461"/>
    <w:rsid w:val="3D8462DC"/>
    <w:rsid w:val="4E880D80"/>
    <w:rsid w:val="5060591A"/>
    <w:rsid w:val="51405699"/>
    <w:rsid w:val="55F02F4A"/>
    <w:rsid w:val="60551DE8"/>
    <w:rsid w:val="61067024"/>
    <w:rsid w:val="693036E9"/>
    <w:rsid w:val="765B4B4F"/>
    <w:rsid w:val="769B6087"/>
    <w:rsid w:val="7930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312</Words>
  <Characters>1783</Characters>
  <Lines>14</Lines>
  <Paragraphs>4</Paragraphs>
  <TotalTime>7</TotalTime>
  <ScaleCrop>false</ScaleCrop>
  <LinksUpToDate>false</LinksUpToDate>
  <CharactersWithSpaces>2091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2021-06-23T04:13:00Z</cp:lastPrinted>
  <dcterms:modified xsi:type="dcterms:W3CDTF">2021-07-29T09:21:21Z</dcterms:modified>
  <dc:title>惠州大亚湾经济技术开发区市场监督管理局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