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Cs/>
          <w:sz w:val="44"/>
          <w:szCs w:val="44"/>
        </w:rPr>
        <w:t>惠州大亚湾经济技术开发区市场监督管理局</w:t>
      </w:r>
    </w:p>
    <w:p>
      <w:pPr>
        <w:spacing w:line="640" w:lineRule="exact"/>
        <w:jc w:val="center"/>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312" w:beforeLines="100" w:after="312" w:afterLines="100" w:line="56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single"/>
          <w:lang w:val="en-US" w:eastAsia="zh-CN"/>
        </w:rPr>
        <w:t>惠湾</w:t>
      </w:r>
      <w:r>
        <w:rPr>
          <w:rFonts w:hint="eastAsia" w:ascii="仿宋_GB2312" w:hAnsi="仿宋_GB2312" w:eastAsia="仿宋_GB2312" w:cs="仿宋_GB2312"/>
          <w:color w:val="000000"/>
          <w:sz w:val="32"/>
          <w:szCs w:val="32"/>
        </w:rPr>
        <w:t>市监</w:t>
      </w:r>
      <w:r>
        <w:rPr>
          <w:rFonts w:hint="eastAsia" w:ascii="仿宋_GB2312" w:hAnsi="仿宋_GB2312" w:eastAsia="仿宋_GB2312" w:cs="仿宋_GB2312"/>
          <w:color w:val="000000"/>
          <w:sz w:val="32"/>
          <w:szCs w:val="32"/>
          <w:u w:val="single"/>
          <w:lang w:val="en-US" w:eastAsia="zh-CN"/>
        </w:rPr>
        <w:t>西处罚</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2021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98</w:t>
      </w:r>
      <w:r>
        <w:rPr>
          <w:rFonts w:hint="eastAsia" w:ascii="仿宋_GB2312" w:hAnsi="仿宋_GB2312" w:eastAsia="仿宋_GB2312" w:cs="仿宋_GB2312"/>
          <w:color w:val="000000"/>
          <w:sz w:val="32"/>
          <w:szCs w:val="32"/>
        </w:rPr>
        <w:t>号</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kern w:val="1"/>
          <w:sz w:val="32"/>
          <w:szCs w:val="32"/>
          <w:u w:val="single"/>
        </w:rPr>
        <w:t xml:space="preserve">惠州大亚湾福鑫购物广场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lang w:eastAsia="zh-CN"/>
        </w:rPr>
        <w:t>营业执照</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仿宋_GB2312" w:hAnsi="仿宋_GB2312" w:eastAsia="仿宋_GB2312" w:cs="仿宋_GB2312"/>
          <w:kern w:val="1"/>
          <w:sz w:val="32"/>
          <w:szCs w:val="32"/>
          <w:u w:val="single"/>
        </w:rPr>
        <w:t xml:space="preserve">92441300L24130558U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lang w:eastAsia="zh-CN"/>
        </w:rPr>
        <w:t>经营场所</w:t>
      </w:r>
      <w:r>
        <w:rPr>
          <w:rFonts w:hint="eastAsia" w:ascii="仿宋_GB2312" w:hAnsi="仿宋_GB2312" w:eastAsia="仿宋_GB2312" w:cs="仿宋_GB2312"/>
          <w:kern w:val="1"/>
          <w:sz w:val="32"/>
          <w:szCs w:val="32"/>
        </w:rPr>
        <w:t>：</w:t>
      </w:r>
      <w:r>
        <w:rPr>
          <w:rFonts w:hint="eastAsia" w:ascii="仿宋_GB2312" w:hAnsi="仿宋_GB2312" w:eastAsia="仿宋_GB2312" w:cs="仿宋_GB2312"/>
          <w:kern w:val="1"/>
          <w:sz w:val="32"/>
          <w:szCs w:val="32"/>
          <w:u w:val="single"/>
        </w:rPr>
        <w:t xml:space="preserve">惠州大亚湾西区新寮村第六村民小组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经营者：</w:t>
      </w:r>
      <w:r>
        <w:rPr>
          <w:rFonts w:hint="eastAsia" w:ascii="仿宋_GB2312" w:hAnsi="仿宋_GB2312" w:eastAsia="仿宋_GB2312" w:cs="仿宋_GB2312"/>
          <w:kern w:val="1"/>
          <w:sz w:val="32"/>
          <w:szCs w:val="32"/>
          <w:u w:val="single"/>
        </w:rPr>
        <w:t xml:space="preserve">叶贞康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bCs/>
          <w:color w:val="000000"/>
          <w:sz w:val="32"/>
          <w:szCs w:val="32"/>
          <w:u w:val="single"/>
        </w:rPr>
      </w:pPr>
      <w:bookmarkStart w:id="0" w:name="_GoBack"/>
      <w:bookmarkEnd w:id="0"/>
      <w:r>
        <w:rPr>
          <w:rFonts w:hint="eastAsia" w:ascii="仿宋_GB2312" w:hAnsi="仿宋_GB2312" w:eastAsia="仿宋_GB2312" w:cs="仿宋_GB2312"/>
          <w:color w:val="000000"/>
          <w:sz w:val="32"/>
          <w:szCs w:val="32"/>
          <w:u w:val="single"/>
          <w:lang w:val="en-US" w:eastAsia="zh-CN"/>
        </w:rPr>
        <w:t>2021年4月12日，我局接到消费者投诉线索，投诉人称其于2021年4月11日在惠州大亚湾福鑫购物广场购买“西饼系列”饼干食品1份，包装日期为：21-03-05，保质日期为：21-04-04，已超过保质期。2021年4月20日，我局根据群众投诉，对位于惠州大亚湾西区新寮村第六村民小组的惠州大亚湾福鑫购物广场进行检查，现场检查时，该购物广场正常经营，经理在场陪同检查。现场检查发现该店糕点货架上，有名称为“西饼系列”的食品，外包装标签上标示包装日期为“21-02-25”，保质日期为“21-03-27”，现场检查时该食品已超过保质期24天。按程序审批后，我局于当天对当事人立案调查，执法人员现场责令当事人立即停止违法经营活动，并对该店经营的1盒超过保质期的“西饼系列”进行扣押，详见[财物清单（文书编号：第22号）]。</w:t>
      </w:r>
      <w:r>
        <w:rPr>
          <w:rFonts w:hint="eastAsia" w:ascii="楷体_GB2312" w:hAnsi="楷体_GB2312" w:eastAsia="楷体_GB2312" w:cs="楷体_GB2312"/>
          <w:color w:val="000000"/>
          <w:sz w:val="32"/>
          <w:szCs w:val="32"/>
          <w:u w:val="single"/>
          <w:lang w:val="en-US" w:eastAsia="zh-CN"/>
        </w:rPr>
        <w:t xml:space="preserve">                                      </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none"/>
          <w:lang w:val="en-US" w:eastAsia="zh-CN"/>
        </w:rPr>
        <w:t>经查，</w:t>
      </w:r>
      <w:r>
        <w:rPr>
          <w:rFonts w:hint="eastAsia" w:ascii="仿宋_GB2312" w:hAnsi="仿宋_GB2312" w:eastAsia="仿宋_GB2312" w:cs="仿宋_GB2312"/>
          <w:color w:val="000000"/>
          <w:sz w:val="32"/>
          <w:szCs w:val="32"/>
          <w:u w:val="single"/>
        </w:rPr>
        <w:t>根据当事人的陈述，其于2021年2月20日从惠州市惠阳区淡水罗怡和食品店进货3包共计2.1kg“猫耳酥”（净含量700g/包），进货后分装成净含量约为0.21kg的小包装食品，并在分装小包装食品上标注品名为“西饼系列”,共分为10盒，进货价为29.05元/kg，销售价为32.38元/kg。当事人向我局提供同类型“猫耳酥”的食品合格证（生产日期：2021年2月5日，保质期：8个月），并陈述其经营的涉案“西饼系列”食品在分装后，标签保质期打印错误，实际保质期为8个月，经营时仍在保质期内。经查明，当事人无法提供相关证据，无法证明涉案超过保质期的“西饼系列”食品即为该食品合格证所标示的食品，也无法证明涉案的“西饼系列”食品仍在保质期内。当事人在超过“西饼系列”食品所标注保质日期，对该食品进行销售的行为，应当视为经营超过保质期的食品，由于当事人未建立相关账册台账，无法确定已销售的8盒“西饼系列”食品是否为超过保质期后销售，</w:t>
      </w:r>
      <w:r>
        <w:rPr>
          <w:rFonts w:hint="eastAsia" w:ascii="仿宋_GB2312" w:hAnsi="仿宋_GB2312" w:eastAsia="仿宋_GB2312" w:cs="仿宋_GB2312"/>
          <w:color w:val="000000"/>
          <w:sz w:val="32"/>
          <w:szCs w:val="32"/>
          <w:u w:val="single"/>
          <w:lang w:eastAsia="zh-CN"/>
        </w:rPr>
        <w:t>同时</w:t>
      </w:r>
      <w:r>
        <w:rPr>
          <w:rFonts w:hint="eastAsia" w:ascii="仿宋_GB2312" w:hAnsi="仿宋_GB2312" w:eastAsia="仿宋_GB2312" w:cs="仿宋_GB2312"/>
          <w:color w:val="000000"/>
          <w:sz w:val="32"/>
          <w:szCs w:val="32"/>
          <w:u w:val="single"/>
        </w:rPr>
        <w:t xml:space="preserve">根据投诉人提供的购买小票凭证，投诉人购买了1盒超过保质期的“西饼系列”食品，货值为6.8元，因此，本案的违法所得为6.8元，货值金额为13.6元。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rPr>
        <w:t>上述事实，主要有以下证据证明：</w:t>
      </w:r>
      <w:r>
        <w:rPr>
          <w:rFonts w:hint="eastAsia" w:ascii="仿宋_GB2312" w:hAnsi="仿宋_GB2312" w:eastAsia="仿宋_GB2312" w:cs="仿宋_GB2312"/>
          <w:color w:val="000000"/>
          <w:sz w:val="32"/>
          <w:szCs w:val="32"/>
          <w:u w:val="single"/>
        </w:rPr>
        <w:t xml:space="preserve"> 1.2021年4月12日</w:t>
      </w:r>
      <w:r>
        <w:rPr>
          <w:rFonts w:hint="eastAsia" w:ascii="仿宋_GB2312" w:hAnsi="仿宋_GB2312" w:eastAsia="仿宋_GB2312" w:cs="仿宋_GB2312"/>
          <w:color w:val="000000"/>
          <w:spacing w:val="-20"/>
          <w:sz w:val="32"/>
          <w:szCs w:val="32"/>
          <w:u w:val="single"/>
        </w:rPr>
        <w:t>《12315消费者投诉登记表》（编号：</w:t>
      </w:r>
      <w:r>
        <w:rPr>
          <w:rFonts w:hint="eastAsia" w:ascii="仿宋_GB2312" w:hAnsi="仿宋_GB2312" w:eastAsia="仿宋_GB2312" w:cs="仿宋_GB2312"/>
          <w:color w:val="000000"/>
          <w:sz w:val="32"/>
          <w:szCs w:val="32"/>
          <w:u w:val="single"/>
        </w:rPr>
        <w:t>1441325002021041233553307）1份；2.2021年4月20日现场笔录1份；3.2021年4月28日现场检查照片5张；4.当事人营业执照复印件1份、经营者叶贞康身份证复印件1份、受委托人唐海军身份证复印件1份、《授权委托书》1份；5.2021年4月27日对受委托人唐海军的询问笔录1份；6.当事人提供的2021年2月20日惠州市惠阳区淡水怡和（食品）批发行送货单（NO.0004950）复印件1份，“猫耳酥”食品合格证（生产日期：2021年2月5日、2021年3月2日）2份，惠州市义食天食品有限公司营业执照和食品生产许可证复印件各1份；7.当事人于2021年6月3日提交的《情况说明》1份</w:t>
      </w:r>
      <w:r>
        <w:rPr>
          <w:rFonts w:hint="eastAsia" w:ascii="仿宋_GB2312" w:hAnsi="仿宋_GB2312" w:eastAsia="仿宋_GB2312" w:cs="仿宋_GB2312"/>
          <w:color w:val="000000"/>
          <w:sz w:val="32"/>
          <w:szCs w:val="32"/>
          <w:u w:val="single"/>
          <w:lang w:eastAsia="zh-CN"/>
        </w:rPr>
        <w:t>。</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single"/>
        </w:rPr>
        <w:t>我局于2021年7月29日依法向当事人直接送达了《行政处罚告知书》（惠湾市监西听字〔2021〕26号），当事人在法定期限内未提出陈述</w:t>
      </w:r>
      <w:r>
        <w:rPr>
          <w:rFonts w:hint="eastAsia" w:ascii="仿宋_GB2312" w:hAnsi="仿宋_GB2312" w:eastAsia="仿宋_GB2312" w:cs="仿宋_GB2312"/>
          <w:color w:val="000000"/>
          <w:sz w:val="32"/>
          <w:szCs w:val="32"/>
          <w:u w:val="single"/>
          <w:lang w:eastAsia="zh-CN"/>
        </w:rPr>
        <w:t>、</w:t>
      </w:r>
      <w:r>
        <w:rPr>
          <w:rFonts w:hint="eastAsia" w:ascii="仿宋_GB2312" w:hAnsi="仿宋_GB2312" w:eastAsia="仿宋_GB2312" w:cs="仿宋_GB2312"/>
          <w:color w:val="000000"/>
          <w:sz w:val="32"/>
          <w:szCs w:val="32"/>
          <w:u w:val="single"/>
        </w:rPr>
        <w:t>申辩意见，未要求听证。</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none"/>
        </w:rPr>
        <w:t>本局认为，</w:t>
      </w:r>
      <w:r>
        <w:rPr>
          <w:rFonts w:hint="eastAsia" w:ascii="仿宋_GB2312" w:hAnsi="仿宋_GB2312" w:eastAsia="仿宋_GB2312" w:cs="仿宋_GB2312"/>
          <w:color w:val="000000"/>
          <w:sz w:val="32"/>
          <w:szCs w:val="32"/>
          <w:u w:val="single"/>
        </w:rPr>
        <w:t xml:space="preserve">当事人经营超过保质期的食品，违反了《中华人民共和国食品安全法》第三十四条第十项“禁止生产经营下列食品、食品添加剂、食品相关产品：（十）标注虚假生产日期、保质期或者超过保质期的食品、食品添加剂；”的规定。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color w:val="000000"/>
          <w:sz w:val="32"/>
          <w:szCs w:val="32"/>
          <w:u w:val="single"/>
        </w:rPr>
      </w:pPr>
      <w:r>
        <w:rPr>
          <w:rFonts w:hint="eastAsia" w:ascii="仿宋_GB2312" w:hAnsi="仿宋_GB2312" w:eastAsia="仿宋_GB2312" w:cs="仿宋_GB2312"/>
          <w:color w:val="000000"/>
          <w:sz w:val="32"/>
          <w:szCs w:val="32"/>
          <w:u w:val="single"/>
        </w:rPr>
        <w:t>鉴于当事人积极配合我局调查并提供相关材料，同时考虑到本案货值金额较低，仅为13.6元，违法行为危害后果较轻微，且当事人于2021年6月3日提交《情况说明》，能从主观认识到自身违法行为，因此，当事人的实际情况</w:t>
      </w:r>
      <w:r>
        <w:rPr>
          <w:rFonts w:hint="eastAsia" w:ascii="仿宋_GB2312" w:hAnsi="仿宋_GB2312" w:eastAsia="仿宋_GB2312" w:cs="仿宋_GB2312"/>
          <w:color w:val="000000"/>
          <w:sz w:val="32"/>
          <w:szCs w:val="32"/>
          <w:u w:val="single"/>
          <w:lang w:eastAsia="zh-CN"/>
        </w:rPr>
        <w:t>符合</w:t>
      </w:r>
      <w:r>
        <w:rPr>
          <w:rFonts w:hint="eastAsia" w:ascii="仿宋_GB2312" w:hAnsi="仿宋_GB2312" w:eastAsia="仿宋_GB2312" w:cs="仿宋_GB2312"/>
          <w:color w:val="000000"/>
          <w:sz w:val="32"/>
          <w:szCs w:val="32"/>
          <w:u w:val="single"/>
        </w:rPr>
        <w:t>《中华人民共和国行政处罚法》第三十二条第五项“当事人有下列情形之一，应当从轻或者减轻行政处罚：(五)法律、法规、规章规定其他应当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的规定</w:t>
      </w:r>
      <w:r>
        <w:rPr>
          <w:rFonts w:hint="eastAsia" w:ascii="仿宋_GB2312" w:hAnsi="仿宋_GB2312" w:eastAsia="仿宋_GB2312" w:cs="仿宋_GB2312"/>
          <w:color w:val="000000"/>
          <w:sz w:val="32"/>
          <w:szCs w:val="32"/>
          <w:u w:val="single"/>
          <w:lang w:eastAsia="zh-CN"/>
        </w:rPr>
        <w:t>的</w:t>
      </w:r>
      <w:r>
        <w:rPr>
          <w:rFonts w:hint="eastAsia" w:ascii="仿宋_GB2312" w:hAnsi="仿宋_GB2312" w:eastAsia="仿宋_GB2312" w:cs="仿宋_GB2312"/>
          <w:color w:val="000000"/>
          <w:sz w:val="32"/>
          <w:szCs w:val="32"/>
          <w:u w:val="single"/>
        </w:rPr>
        <w:t>减轻行政处罚</w:t>
      </w:r>
      <w:r>
        <w:rPr>
          <w:rFonts w:hint="eastAsia" w:ascii="仿宋_GB2312" w:hAnsi="仿宋_GB2312" w:eastAsia="仿宋_GB2312" w:cs="仿宋_GB2312"/>
          <w:color w:val="000000"/>
          <w:sz w:val="32"/>
          <w:szCs w:val="32"/>
          <w:u w:val="single"/>
          <w:lang w:eastAsia="zh-CN"/>
        </w:rPr>
        <w:t>情形</w:t>
      </w:r>
      <w:r>
        <w:rPr>
          <w:rFonts w:hint="eastAsia" w:ascii="仿宋_GB2312" w:hAnsi="仿宋_GB2312" w:eastAsia="仿宋_GB2312" w:cs="仿宋_GB2312"/>
          <w:color w:val="000000"/>
          <w:sz w:val="32"/>
          <w:szCs w:val="32"/>
          <w:u w:val="single"/>
        </w:rPr>
        <w:t>。</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综上，当事人上述行为违反了</w:t>
      </w:r>
      <w:r>
        <w:rPr>
          <w:rFonts w:hint="eastAsia" w:ascii="Times New Roman" w:hAnsi="Times New Roman" w:eastAsia="仿宋_GB2312" w:cs="仿宋"/>
          <w:color w:val="000000"/>
          <w:sz w:val="32"/>
          <w:szCs w:val="32"/>
          <w:u w:val="single"/>
        </w:rPr>
        <w:t>《中华人民共和国食品安全法》第三十四条第十项</w:t>
      </w:r>
      <w:r>
        <w:rPr>
          <w:rFonts w:hint="eastAsia" w:ascii="Times New Roman" w:hAnsi="Times New Roman" w:eastAsia="仿宋_GB2312" w:cs="仿宋"/>
          <w:color w:val="000000"/>
          <w:sz w:val="32"/>
          <w:szCs w:val="32"/>
          <w:u w:val="single"/>
          <w:lang w:eastAsia="zh-CN"/>
        </w:rPr>
        <w:t>的规定</w:t>
      </w:r>
      <w:r>
        <w:rPr>
          <w:rFonts w:hint="eastAsia" w:ascii="Times New Roman" w:hAnsi="Times New Roman" w:eastAsia="仿宋_GB2312" w:cs="仿宋"/>
          <w:color w:val="000000"/>
          <w:sz w:val="32"/>
          <w:szCs w:val="32"/>
          <w:u w:val="none"/>
          <w:lang w:eastAsia="zh-CN"/>
        </w:rPr>
        <w:t>，</w:t>
      </w:r>
      <w:r>
        <w:rPr>
          <w:rFonts w:hint="eastAsia" w:ascii="Times New Roman" w:hAnsi="Times New Roman" w:eastAsia="仿宋_GB2312" w:cs="仿宋"/>
          <w:color w:val="000000"/>
          <w:sz w:val="32"/>
          <w:szCs w:val="32"/>
        </w:rPr>
        <w:t>依据</w:t>
      </w:r>
      <w:r>
        <w:rPr>
          <w:rFonts w:hint="eastAsia" w:ascii="Times New Roman" w:hAnsi="Times New Roman" w:eastAsia="仿宋_GB2312" w:cs="仿宋"/>
          <w:color w:val="000000"/>
          <w:sz w:val="32"/>
          <w:szCs w:val="32"/>
          <w:u w:val="single"/>
        </w:rPr>
        <w:t>《中华人民共和国食品安全法》第一百二十四条第一款第五项“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五）生产经营标注虚假生产日期、保质期或者超过保质期的食品、食品添加剂”</w:t>
      </w:r>
      <w:r>
        <w:rPr>
          <w:rFonts w:hint="eastAsia" w:ascii="Times New Roman" w:hAnsi="Times New Roman" w:eastAsia="仿宋_GB2312" w:cs="仿宋"/>
          <w:color w:val="000000"/>
          <w:sz w:val="32"/>
          <w:szCs w:val="32"/>
          <w:u w:val="single"/>
          <w:lang w:eastAsia="zh-CN"/>
        </w:rPr>
        <w:t>、《中华人民共和国行政处罚法》第三十二条第五项“当事人有下列情形之一，应当从轻或者减轻行政处罚：(五)法律、法规、规章规定其他应当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以及《中华人民共和国行政处罚法》第二十八条第一款“行政机关实施行政处罚时，应当责令当事人改正或者限期改正违法行为。”的规定</w:t>
      </w:r>
      <w:r>
        <w:rPr>
          <w:rFonts w:hint="eastAsia" w:ascii="Times New Roman" w:hAnsi="Times New Roman" w:eastAsia="仿宋_GB2312" w:cs="仿宋"/>
          <w:color w:val="000000"/>
          <w:sz w:val="32"/>
          <w:szCs w:val="32"/>
        </w:rPr>
        <w:t>，现责令当事人改正上述违法行为，并决定处罚如下：</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u w:val="single"/>
          <w:lang w:val="en-US" w:eastAsia="zh-CN"/>
        </w:rPr>
      </w:pPr>
      <w:r>
        <w:rPr>
          <w:rFonts w:hint="eastAsia" w:ascii="仿宋_GB2312" w:hAnsi="仿宋_GB2312" w:eastAsia="仿宋_GB2312" w:cs="仿宋_GB2312"/>
          <w:color w:val="000000"/>
          <w:sz w:val="32"/>
          <w:szCs w:val="32"/>
          <w:u w:val="single"/>
          <w:lang w:val="en-US" w:eastAsia="zh-CN"/>
        </w:rPr>
        <w:t>1</w:t>
      </w:r>
      <w:r>
        <w:rPr>
          <w:rFonts w:hint="eastAsia" w:ascii="仿宋_GB2312" w:hAnsi="仿宋_GB2312" w:eastAsia="仿宋_GB2312" w:cs="仿宋_GB2312"/>
          <w:color w:val="000000"/>
          <w:sz w:val="32"/>
          <w:szCs w:val="32"/>
          <w:u w:val="single"/>
        </w:rPr>
        <w:t xml:space="preserve">．没收违法所得人民币陆元捌角（¥6.80元）；                </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lang w:val="en-US" w:eastAsia="zh-CN"/>
        </w:rPr>
        <w:t>2．没收违法经营的超过保质期的食品；</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lang w:val="en-US" w:eastAsia="zh-CN"/>
        </w:rPr>
        <w:t>3．处罚款人民币伍仟元整（¥5000.00元）。</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Times New Roman" w:hAnsi="Times New Roman" w:eastAsia="仿宋_GB2312" w:cs="仿宋"/>
          <w:color w:val="000000"/>
          <w:sz w:val="32"/>
          <w:szCs w:val="32"/>
          <w:u w:val="single"/>
        </w:rPr>
      </w:pPr>
      <w:r>
        <w:rPr>
          <w:rFonts w:hint="eastAsia" w:ascii="仿宋_GB2312" w:hAnsi="仿宋_GB2312" w:eastAsia="仿宋_GB2312" w:cs="仿宋_GB2312"/>
          <w:color w:val="000000"/>
          <w:sz w:val="32"/>
          <w:szCs w:val="32"/>
          <w:u w:val="single"/>
        </w:rPr>
        <w:t>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七十二条第一项的规定，每日按罚款数额的3%加处罚款，并依法申请人民法院强制执行。</w:t>
      </w:r>
      <w:r>
        <w:rPr>
          <w:rFonts w:hint="eastAsia" w:ascii="Times New Roman" w:hAnsi="Times New Roman" w:eastAsia="仿宋_GB2312" w:cs="仿宋"/>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t xml:space="preserve">如不服从本处罚决定，可在接到本处罚决定书之日起60日内向大亚湾区管委会申请行政复议，也可于6个月内向博罗县人民法院提起行政诉讼。申请行政复议或者提起行政诉讼期间，行政处罚不停止执行。                                                                          </w:t>
      </w:r>
    </w:p>
    <w:p>
      <w:pPr>
        <w:keepNext w:val="0"/>
        <w:keepLines w:val="0"/>
        <w:pageBreakBefore w:val="0"/>
        <w:widowControl w:val="0"/>
        <w:kinsoku/>
        <w:overflowPunct/>
        <w:topLinePunct w:val="0"/>
        <w:autoSpaceDE/>
        <w:autoSpaceDN/>
        <w:bidi w:val="0"/>
        <w:adjustRightInd/>
        <w:spacing w:line="5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firstLine="601"/>
        <w:jc w:val="center"/>
        <w:textAlignment w:val="auto"/>
        <w:rPr>
          <w:rFonts w:ascii="Times New Roman"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 xml:space="preserve">             惠州大亚湾经济技术开发区市场监督管理局</w:t>
      </w:r>
    </w:p>
    <w:p>
      <w:pPr>
        <w:keepNext w:val="0"/>
        <w:keepLines w:val="0"/>
        <w:pageBreakBefore w:val="0"/>
        <w:widowControl w:val="0"/>
        <w:kinsoku/>
        <w:overflowPunct/>
        <w:topLinePunct w:val="0"/>
        <w:autoSpaceDE/>
        <w:autoSpaceDN/>
        <w:bidi w:val="0"/>
        <w:adjustRightInd/>
        <w:spacing w:line="560" w:lineRule="exact"/>
        <w:ind w:right="640"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2021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w:t>
      </w: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5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560" w:lineRule="exact"/>
        <w:jc w:val="both"/>
        <w:textAlignment w:val="auto"/>
        <w:rPr>
          <w:rFonts w:hint="eastAsia" w:ascii="黑体" w:hAnsi="黑体" w:eastAsia="黑体" w:cs="黑体"/>
          <w:b w:val="0"/>
          <w:bCs w:val="0"/>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ascii="Times New Roman" w:hAnsi="Times New Roman" w:eastAsia="仿宋_GB2312" w:cs="仿宋"/>
          <w:bCs/>
          <w:color w:val="000000"/>
          <w:sz w:val="32"/>
          <w:szCs w:val="32"/>
        </w:rPr>
      </w:pPr>
      <w:r>
        <w:rPr>
          <w:rFonts w:hint="eastAsia" w:ascii="黑体" w:hAnsi="黑体" w:eastAsia="黑体" w:cs="黑体"/>
          <w:b w:val="0"/>
          <w:bCs w:val="0"/>
          <w:color w:val="000000"/>
          <w:sz w:val="30"/>
          <w:szCs w:val="30"/>
        </w:rPr>
        <w:t>（市场监督管理部门将依法向社会公开行政处罚决定信息）</w:t>
      </w:r>
    </w:p>
    <w:p>
      <w:pPr>
        <w:pStyle w:val="3"/>
        <w:keepNext w:val="0"/>
        <w:keepLines w:val="0"/>
        <w:pageBreakBefore w:val="0"/>
        <w:widowControl w:val="0"/>
        <w:kinsoku/>
        <w:overflowPunct/>
        <w:topLinePunct w:val="0"/>
        <w:autoSpaceDE/>
        <w:autoSpaceDN/>
        <w:bidi w:val="0"/>
        <w:adjustRightInd/>
        <w:spacing w:line="560" w:lineRule="exact"/>
        <w:jc w:val="center"/>
        <w:textAlignment w:val="auto"/>
      </w:pPr>
      <w:r>
        <w:rPr>
          <w:rFonts w:hint="eastAsia" w:ascii="Times New Roman" w:hAnsi="Times New Roman" w:eastAsia="仿宋_GB2312"/>
          <w:sz w:val="32"/>
        </w:rPr>
        <mc:AlternateContent>
          <mc:Choice Requires="wps">
            <w:drawing>
              <wp:anchor distT="0" distB="0" distL="114300" distR="114300" simplePos="0" relativeHeight="251819008" behindDoc="0" locked="0" layoutInCell="1" allowOverlap="1">
                <wp:simplePos x="0" y="0"/>
                <wp:positionH relativeFrom="column">
                  <wp:posOffset>-27940</wp:posOffset>
                </wp:positionH>
                <wp:positionV relativeFrom="paragraph">
                  <wp:posOffset>70485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2pt;margin-top:5.55pt;height:0.05pt;width:437.05pt;z-index:251819008;mso-width-relative:page;mso-height-relative:page;" filled="f" stroked="t" coordsize="21600,21600" o:gfxdata="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1dg6pNcAAAAIAQAADwAAAAAAAAABACAAAAAi&#10;AAAAZHJzL2Rvd25yZXYueG1sUEsBAhQAFAAAAAgAh07iQCk3R6/SAQAAjwMAAA4AAAAAAAAAAQAg&#10;AAAAJgEAAGRycy9lMm9Eb2MueG1sUEsFBgAAAAAGAAYAWQEAAGoFAAAAAA==&#10;">
                <v:fill on="f" focussize="0,0"/>
                <v:stroke weight="1.25pt" color="#000000" joinstyle="round"/>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 w:cs="仿宋"/>
          <w:color w:val="000000"/>
          <w:sz w:val="32"/>
          <w:szCs w:val="32"/>
        </w:rPr>
        <w:t>。</w:t>
      </w:r>
    </w:p>
    <w:sectPr>
      <w:footerReference r:id="rId3" w:type="default"/>
      <w:pgSz w:w="11906" w:h="16838"/>
      <w:pgMar w:top="1440" w:right="1559" w:bottom="1440"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sz w:val="24"/>
                        <w:szCs w:val="40"/>
                        <w:lang w:eastAsia="zh-CN"/>
                      </w:rPr>
                    </w:pPr>
                    <w:r>
                      <w:rPr>
                        <w:rFonts w:hint="eastAsia"/>
                        <w:sz w:val="24"/>
                        <w:szCs w:val="40"/>
                        <w:lang w:eastAsia="zh-CN"/>
                      </w:rPr>
                      <w:t xml:space="preserve">第 </w:t>
                    </w: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r>
                      <w:rPr>
                        <w:rFonts w:hint="eastAsia"/>
                        <w:sz w:val="24"/>
                        <w:szCs w:val="40"/>
                        <w:lang w:eastAsia="zh-CN"/>
                      </w:rPr>
                      <w:t xml:space="preserve"> 页 共 </w:t>
                    </w:r>
                    <w:r>
                      <w:rPr>
                        <w:rFonts w:hint="eastAsia"/>
                        <w:sz w:val="24"/>
                        <w:szCs w:val="40"/>
                        <w:lang w:eastAsia="zh-CN"/>
                      </w:rPr>
                      <w:fldChar w:fldCharType="begin"/>
                    </w:r>
                    <w:r>
                      <w:rPr>
                        <w:rFonts w:hint="eastAsia"/>
                        <w:sz w:val="24"/>
                        <w:szCs w:val="40"/>
                        <w:lang w:eastAsia="zh-CN"/>
                      </w:rPr>
                      <w:instrText xml:space="preserve"> NUMPAGES  \* MERGEFORMAT </w:instrText>
                    </w:r>
                    <w:r>
                      <w:rPr>
                        <w:rFonts w:hint="eastAsia"/>
                        <w:sz w:val="24"/>
                        <w:szCs w:val="40"/>
                        <w:lang w:eastAsia="zh-CN"/>
                      </w:rPr>
                      <w:fldChar w:fldCharType="separate"/>
                    </w:r>
                    <w:r>
                      <w:rPr>
                        <w:rFonts w:hint="eastAsia"/>
                        <w:sz w:val="24"/>
                        <w:szCs w:val="40"/>
                        <w:lang w:eastAsia="zh-CN"/>
                      </w:rPr>
                      <w:t>2</w:t>
                    </w:r>
                    <w:r>
                      <w:rPr>
                        <w:rFonts w:hint="eastAsia"/>
                        <w:sz w:val="24"/>
                        <w:szCs w:val="40"/>
                        <w:lang w:eastAsia="zh-CN"/>
                      </w:rPr>
                      <w:fldChar w:fldCharType="end"/>
                    </w:r>
                    <w:r>
                      <w:rPr>
                        <w:rFonts w:hint="eastAsia"/>
                        <w:sz w:val="24"/>
                        <w:szCs w:val="40"/>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A483156"/>
    <w:rsid w:val="0AB8293D"/>
    <w:rsid w:val="0AF00C98"/>
    <w:rsid w:val="0B581F25"/>
    <w:rsid w:val="0F0C4DEC"/>
    <w:rsid w:val="1BA300A3"/>
    <w:rsid w:val="1C0A64EF"/>
    <w:rsid w:val="277B6956"/>
    <w:rsid w:val="2DC477F8"/>
    <w:rsid w:val="33F956AE"/>
    <w:rsid w:val="35BA74B5"/>
    <w:rsid w:val="38912164"/>
    <w:rsid w:val="39EF22F8"/>
    <w:rsid w:val="3C5C07C7"/>
    <w:rsid w:val="440B0B3A"/>
    <w:rsid w:val="46DF3980"/>
    <w:rsid w:val="4E345BE0"/>
    <w:rsid w:val="528F6ABE"/>
    <w:rsid w:val="550B11C5"/>
    <w:rsid w:val="570C635D"/>
    <w:rsid w:val="609020B1"/>
    <w:rsid w:val="6C180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36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dcterms:modified xsi:type="dcterms:W3CDTF">2021-08-26T08:30:16Z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