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Cs/>
          <w:sz w:val="44"/>
          <w:szCs w:val="44"/>
        </w:rPr>
        <w:t>惠州大亚湾经济技术开发区市场监督管理局</w:t>
      </w:r>
    </w:p>
    <w:p>
      <w:pPr>
        <w:keepNext w:val="0"/>
        <w:keepLines w:val="0"/>
        <w:pageBreakBefore w:val="0"/>
        <w:widowControl w:val="0"/>
        <w:kinsoku/>
        <w:overflowPunct/>
        <w:topLinePunct w:val="0"/>
        <w:autoSpaceDE/>
        <w:autoSpaceDN/>
        <w:bidi w:val="0"/>
        <w:adjustRightInd/>
        <w:spacing w:line="520" w:lineRule="exact"/>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before="312" w:beforeLines="100" w:after="312" w:afterLines="100" w:line="52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lang w:val="en-US"/>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60288;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single"/>
          <w:lang w:val="en-US" w:eastAsia="zh-CN"/>
        </w:rPr>
        <w:t>惠湾</w:t>
      </w:r>
      <w:r>
        <w:rPr>
          <w:rFonts w:hint="eastAsia" w:ascii="仿宋_GB2312" w:hAnsi="仿宋_GB2312" w:eastAsia="仿宋_GB2312" w:cs="仿宋_GB2312"/>
          <w:color w:val="000000"/>
          <w:sz w:val="32"/>
          <w:szCs w:val="32"/>
        </w:rPr>
        <w:t>市监</w:t>
      </w:r>
      <w:r>
        <w:rPr>
          <w:rFonts w:hint="eastAsia" w:ascii="仿宋_GB2312" w:hAnsi="仿宋_GB2312" w:eastAsia="仿宋_GB2312" w:cs="仿宋_GB2312"/>
          <w:color w:val="000000"/>
          <w:sz w:val="32"/>
          <w:szCs w:val="32"/>
          <w:u w:val="single"/>
          <w:lang w:val="en-US" w:eastAsia="zh-CN"/>
        </w:rPr>
        <w:t>西处罚</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2021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102</w:t>
      </w:r>
      <w:r>
        <w:rPr>
          <w:rFonts w:hint="eastAsia" w:ascii="仿宋_GB2312" w:hAnsi="仿宋_GB2312" w:eastAsia="仿宋_GB2312" w:cs="仿宋_GB2312"/>
          <w:color w:val="000000"/>
          <w:sz w:val="32"/>
          <w:szCs w:val="32"/>
        </w:rPr>
        <w:t>号</w:t>
      </w:r>
    </w:p>
    <w:p>
      <w:pPr>
        <w:keepNext w:val="0"/>
        <w:keepLines w:val="0"/>
        <w:pageBreakBefore w:val="0"/>
        <w:widowControl w:val="0"/>
        <w:kinsoku/>
        <w:overflowPunct/>
        <w:topLinePunct w:val="0"/>
        <w:autoSpaceDE/>
        <w:autoSpaceDN/>
        <w:bidi w:val="0"/>
        <w:adjustRightIn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sz w:val="32"/>
          <w:szCs w:val="32"/>
          <w:u w:val="single"/>
          <w:lang w:eastAsia="zh-CN"/>
        </w:rPr>
        <w:t>惠州彩运物流有限公司</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2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lang w:eastAsia="zh-CN"/>
        </w:rPr>
        <w:t>营业执照</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2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仿宋_GB2312" w:hAnsi="仿宋_GB2312" w:eastAsia="仿宋_GB2312" w:cs="仿宋_GB2312"/>
          <w:sz w:val="32"/>
          <w:szCs w:val="32"/>
          <w:u w:val="single"/>
          <w:lang w:eastAsia="zh-CN"/>
        </w:rPr>
        <w:t>91441300MA4ULHQR90</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住所：</w:t>
      </w:r>
      <w:r>
        <w:rPr>
          <w:rFonts w:hint="eastAsia" w:ascii="仿宋_GB2312" w:hAnsi="仿宋_GB2312" w:eastAsia="仿宋_GB2312" w:cs="仿宋_GB2312"/>
          <w:sz w:val="32"/>
          <w:szCs w:val="32"/>
          <w:u w:val="single"/>
          <w:lang w:val="en-US" w:eastAsia="zh-CN"/>
        </w:rPr>
        <w:t>惠州大亚湾西区龙山一路56号（2号办公楼）</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2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lang w:eastAsia="zh-CN"/>
        </w:rPr>
        <w:t>法定代表人</w:t>
      </w:r>
      <w:r>
        <w:rPr>
          <w:rFonts w:hint="eastAsia" w:ascii="仿宋_GB2312" w:hAnsi="仿宋_GB2312" w:eastAsia="仿宋_GB2312" w:cs="仿宋_GB2312"/>
          <w:kern w:val="1"/>
          <w:sz w:val="32"/>
          <w:szCs w:val="32"/>
        </w:rPr>
        <w:t>：</w:t>
      </w:r>
      <w:r>
        <w:rPr>
          <w:rFonts w:hint="eastAsia" w:ascii="仿宋_GB2312" w:hAnsi="仿宋_GB2312" w:eastAsia="仿宋_GB2312" w:cs="仿宋_GB2312"/>
          <w:sz w:val="32"/>
          <w:szCs w:val="32"/>
          <w:u w:val="single"/>
          <w:lang w:val="en-US" w:eastAsia="zh-CN"/>
        </w:rPr>
        <w:t>徐进宇</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color w:val="000000"/>
          <w:sz w:val="32"/>
          <w:szCs w:val="32"/>
          <w:u w:val="single"/>
        </w:rPr>
      </w:pPr>
      <w:bookmarkStart w:id="0" w:name="_GoBack"/>
      <w:bookmarkEnd w:id="0"/>
      <w:r>
        <w:rPr>
          <w:rFonts w:hint="eastAsia" w:ascii="仿宋_GB2312" w:hAnsi="仿宋_GB2312" w:eastAsia="仿宋_GB2312" w:cs="仿宋_GB2312"/>
          <w:color w:val="000000"/>
          <w:sz w:val="32"/>
          <w:szCs w:val="32"/>
          <w:u w:val="single"/>
          <w:lang w:val="en-US" w:eastAsia="zh-CN"/>
        </w:rPr>
        <w:t>2021年5月12日，我局执法人员在日常巡查时依法对位于惠州大亚湾西区龙山一路56号的惠州彩运物流有限公司进行检查。执法人员对该公司食堂进行检查时，发现该公司食堂正常经营，该公司保安队长以及3名工作人员在场，该食堂有厨房1间，仓库1间以及就餐间1间。其中：①厨房面积约40m</w:t>
      </w:r>
      <w:r>
        <w:rPr>
          <w:rFonts w:hint="eastAsia" w:ascii="仿宋_GB2312" w:hAnsi="仿宋_GB2312" w:eastAsia="仿宋_GB2312" w:cs="仿宋_GB2312"/>
          <w:color w:val="000000"/>
          <w:sz w:val="32"/>
          <w:szCs w:val="32"/>
          <w:u w:val="single"/>
          <w:vertAlign w:val="superscript"/>
          <w:lang w:val="en-US" w:eastAsia="zh-CN"/>
        </w:rPr>
        <w:t>2</w:t>
      </w:r>
      <w:r>
        <w:rPr>
          <w:rFonts w:hint="eastAsia" w:ascii="仿宋_GB2312" w:hAnsi="仿宋_GB2312" w:eastAsia="仿宋_GB2312" w:cs="仿宋_GB2312"/>
          <w:color w:val="000000"/>
          <w:sz w:val="32"/>
          <w:szCs w:val="32"/>
          <w:u w:val="single"/>
          <w:lang w:val="en-US" w:eastAsia="zh-CN"/>
        </w:rPr>
        <w:t>，分内外区，内区为厨房操作区，面积约20m</w:t>
      </w:r>
      <w:r>
        <w:rPr>
          <w:rFonts w:hint="eastAsia" w:ascii="仿宋_GB2312" w:hAnsi="仿宋_GB2312" w:eastAsia="仿宋_GB2312" w:cs="仿宋_GB2312"/>
          <w:color w:val="000000"/>
          <w:sz w:val="32"/>
          <w:szCs w:val="32"/>
          <w:u w:val="single"/>
          <w:vertAlign w:val="superscript"/>
          <w:lang w:val="en-US" w:eastAsia="zh-CN"/>
        </w:rPr>
        <w:t>2</w:t>
      </w:r>
      <w:r>
        <w:rPr>
          <w:rFonts w:hint="eastAsia" w:ascii="仿宋_GB2312" w:hAnsi="仿宋_GB2312" w:eastAsia="仿宋_GB2312" w:cs="仿宋_GB2312"/>
          <w:color w:val="000000"/>
          <w:sz w:val="32"/>
          <w:szCs w:val="32"/>
          <w:u w:val="single"/>
          <w:lang w:val="en-US" w:eastAsia="zh-CN"/>
        </w:rPr>
        <w:t>，有炒菜锅、蒸饭柜、洗手台、洗菜池、冰箱等经营设备，外区面积约20m</w:t>
      </w:r>
      <w:r>
        <w:rPr>
          <w:rFonts w:hint="eastAsia" w:ascii="仿宋_GB2312" w:hAnsi="仿宋_GB2312" w:eastAsia="仿宋_GB2312" w:cs="仿宋_GB2312"/>
          <w:color w:val="000000"/>
          <w:sz w:val="32"/>
          <w:szCs w:val="32"/>
          <w:u w:val="single"/>
          <w:vertAlign w:val="superscript"/>
          <w:lang w:val="en-US" w:eastAsia="zh-CN"/>
        </w:rPr>
        <w:t>2</w:t>
      </w:r>
      <w:r>
        <w:rPr>
          <w:rFonts w:hint="eastAsia" w:ascii="仿宋_GB2312" w:hAnsi="仿宋_GB2312" w:eastAsia="仿宋_GB2312" w:cs="仿宋_GB2312"/>
          <w:color w:val="000000"/>
          <w:sz w:val="32"/>
          <w:szCs w:val="32"/>
          <w:u w:val="single"/>
          <w:lang w:val="en-US" w:eastAsia="zh-CN"/>
        </w:rPr>
        <w:t>，有桌椅、置物架等就餐设备；②仓库面积约30m</w:t>
      </w:r>
      <w:r>
        <w:rPr>
          <w:rFonts w:hint="eastAsia" w:ascii="仿宋_GB2312" w:hAnsi="仿宋_GB2312" w:eastAsia="仿宋_GB2312" w:cs="仿宋_GB2312"/>
          <w:color w:val="000000"/>
          <w:sz w:val="32"/>
          <w:szCs w:val="32"/>
          <w:u w:val="single"/>
          <w:vertAlign w:val="superscript"/>
          <w:lang w:val="en-US" w:eastAsia="zh-CN"/>
        </w:rPr>
        <w:t>2</w:t>
      </w:r>
      <w:r>
        <w:rPr>
          <w:rFonts w:hint="eastAsia" w:ascii="仿宋_GB2312" w:hAnsi="仿宋_GB2312" w:eastAsia="仿宋_GB2312" w:cs="仿宋_GB2312"/>
          <w:color w:val="000000"/>
          <w:sz w:val="32"/>
          <w:szCs w:val="32"/>
          <w:u w:val="single"/>
          <w:lang w:val="en-US" w:eastAsia="zh-CN"/>
        </w:rPr>
        <w:t>，内有货架并存放有食材；③就餐间面积约40m</w:t>
      </w:r>
      <w:r>
        <w:rPr>
          <w:rFonts w:hint="eastAsia" w:ascii="仿宋_GB2312" w:hAnsi="仿宋_GB2312" w:eastAsia="仿宋_GB2312" w:cs="仿宋_GB2312"/>
          <w:color w:val="000000"/>
          <w:sz w:val="32"/>
          <w:szCs w:val="32"/>
          <w:u w:val="single"/>
          <w:vertAlign w:val="superscript"/>
          <w:lang w:val="en-US" w:eastAsia="zh-CN"/>
        </w:rPr>
        <w:t>2</w:t>
      </w:r>
      <w:r>
        <w:rPr>
          <w:rFonts w:hint="eastAsia" w:ascii="仿宋_GB2312" w:hAnsi="仿宋_GB2312" w:eastAsia="仿宋_GB2312" w:cs="仿宋_GB2312"/>
          <w:color w:val="000000"/>
          <w:sz w:val="32"/>
          <w:szCs w:val="32"/>
          <w:u w:val="single"/>
          <w:lang w:val="en-US" w:eastAsia="zh-CN"/>
        </w:rPr>
        <w:t xml:space="preserve">，有桌子（含椅子）10张，立式空调2台以及置物架1个，置物架上摆放有员工就餐用餐具。现场检查时，惠州彩运物流有限公司无法提供该地址的《食品经营许可证》。按程序审批后，本局于当日对当事人立案调查,执法人员现场责令当事人立即停止违法经营行为，并对该公司食堂涉嫌未取得许可从事餐饮服务的相关食品、工具实施扣押行政强制措施,详见[财物清单（文书编号：第16号）]。                                      </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none"/>
          <w:lang w:val="en-US" w:eastAsia="zh-CN"/>
        </w:rPr>
        <w:t>经查，</w:t>
      </w:r>
      <w:r>
        <w:rPr>
          <w:rFonts w:hint="eastAsia" w:ascii="仿宋_GB2312" w:eastAsia="仿宋_GB2312"/>
          <w:sz w:val="32"/>
          <w:szCs w:val="32"/>
          <w:u w:val="single"/>
          <w:lang w:eastAsia="zh-CN"/>
        </w:rPr>
        <w:t>当事人于</w:t>
      </w:r>
      <w:r>
        <w:rPr>
          <w:rFonts w:hint="eastAsia" w:ascii="仿宋_GB2312" w:eastAsia="仿宋_GB2312"/>
          <w:sz w:val="32"/>
          <w:szCs w:val="32"/>
          <w:u w:val="single"/>
          <w:lang w:val="en-US" w:eastAsia="zh-CN"/>
        </w:rPr>
        <w:t>2020</w:t>
      </w:r>
      <w:r>
        <w:rPr>
          <w:rFonts w:hint="eastAsia" w:ascii="仿宋_GB2312" w:eastAsia="仿宋_GB2312"/>
          <w:sz w:val="32"/>
          <w:szCs w:val="32"/>
          <w:u w:val="single"/>
        </w:rPr>
        <w:t>年</w:t>
      </w:r>
      <w:r>
        <w:rPr>
          <w:rFonts w:hint="eastAsia" w:ascii="仿宋_GB2312" w:eastAsia="仿宋_GB2312"/>
          <w:sz w:val="32"/>
          <w:szCs w:val="32"/>
          <w:u w:val="single"/>
          <w:lang w:val="en-US" w:eastAsia="zh-CN"/>
        </w:rPr>
        <w:t>11</w:t>
      </w:r>
      <w:r>
        <w:rPr>
          <w:rFonts w:hint="eastAsia" w:ascii="仿宋_GB2312" w:eastAsia="仿宋_GB2312"/>
          <w:sz w:val="32"/>
          <w:szCs w:val="32"/>
          <w:u w:val="single"/>
        </w:rPr>
        <w:t>月开始</w:t>
      </w:r>
      <w:r>
        <w:rPr>
          <w:rFonts w:hint="eastAsia" w:ascii="仿宋_GB2312" w:eastAsia="仿宋_GB2312"/>
          <w:sz w:val="32"/>
          <w:szCs w:val="32"/>
          <w:u w:val="single"/>
          <w:lang w:val="en-US" w:eastAsia="zh-CN"/>
        </w:rPr>
        <w:t>经营使用食堂，该食堂午餐就餐人数为30人，晚餐就餐人数为80人，公司全体员工伙食费由公司统一负责，员工免费就餐，属于员工福利。在本案的调查过程中，执法人员现场未</w:t>
      </w:r>
      <w:r>
        <w:rPr>
          <w:rFonts w:hint="eastAsia" w:ascii="仿宋_GB2312" w:eastAsia="仿宋_GB2312"/>
          <w:sz w:val="32"/>
          <w:szCs w:val="32"/>
          <w:u w:val="single"/>
        </w:rPr>
        <w:t>发现相关经营票据</w:t>
      </w:r>
      <w:r>
        <w:rPr>
          <w:rFonts w:hint="eastAsia" w:ascii="仿宋_GB2312" w:eastAsia="仿宋_GB2312"/>
          <w:sz w:val="32"/>
          <w:szCs w:val="32"/>
          <w:u w:val="single"/>
          <w:lang w:eastAsia="zh-CN"/>
        </w:rPr>
        <w:t>及</w:t>
      </w:r>
      <w:r>
        <w:rPr>
          <w:rFonts w:hint="eastAsia" w:ascii="仿宋_GB2312" w:eastAsia="仿宋_GB2312"/>
          <w:sz w:val="32"/>
          <w:szCs w:val="32"/>
          <w:u w:val="single"/>
        </w:rPr>
        <w:t>账本账册</w:t>
      </w:r>
      <w:r>
        <w:rPr>
          <w:rFonts w:hint="eastAsia" w:ascii="仿宋_GB2312" w:eastAsia="仿宋_GB2312"/>
          <w:sz w:val="32"/>
          <w:szCs w:val="32"/>
          <w:u w:val="single"/>
          <w:lang w:eastAsia="zh-CN"/>
        </w:rPr>
        <w:t>。根据当事人于</w:t>
      </w:r>
      <w:r>
        <w:rPr>
          <w:rFonts w:hint="eastAsia" w:ascii="仿宋_GB2312" w:eastAsia="仿宋_GB2312"/>
          <w:sz w:val="32"/>
          <w:szCs w:val="32"/>
          <w:u w:val="single"/>
          <w:lang w:val="en-US" w:eastAsia="zh-CN"/>
        </w:rPr>
        <w:t>2021年6月1日向我局提交保留的部分进货票据，可计算的进货食品货值金额合计3710.2元</w:t>
      </w:r>
      <w:r>
        <w:rPr>
          <w:rFonts w:hint="eastAsia" w:ascii="仿宋_GB2312" w:eastAsia="仿宋_GB2312"/>
          <w:sz w:val="32"/>
          <w:szCs w:val="32"/>
          <w:u w:val="single"/>
        </w:rPr>
        <w:t>。</w:t>
      </w:r>
      <w:r>
        <w:rPr>
          <w:rFonts w:hint="eastAsia" w:ascii="仿宋_GB2312" w:eastAsia="仿宋_GB2312"/>
          <w:sz w:val="32"/>
          <w:szCs w:val="32"/>
          <w:u w:val="single"/>
          <w:lang w:eastAsia="zh-CN"/>
        </w:rPr>
        <w:t>现场扣押的食品货值金额合计</w:t>
      </w:r>
      <w:r>
        <w:rPr>
          <w:rFonts w:hint="eastAsia" w:ascii="仿宋_GB2312" w:eastAsia="仿宋_GB2312"/>
          <w:sz w:val="32"/>
          <w:szCs w:val="32"/>
          <w:u w:val="single"/>
          <w:lang w:val="en-US" w:eastAsia="zh-CN"/>
        </w:rPr>
        <w:t>250元（4瓶金龙鱼食用植物调和油货值金额为250元），</w:t>
      </w:r>
      <w:r>
        <w:rPr>
          <w:rFonts w:hint="eastAsia" w:ascii="仿宋_GB2312" w:eastAsia="仿宋_GB2312"/>
          <w:sz w:val="32"/>
          <w:szCs w:val="32"/>
          <w:u w:val="single"/>
          <w:lang w:eastAsia="zh-CN"/>
        </w:rPr>
        <w:t>因此，本案货值金额合计</w:t>
      </w:r>
      <w:r>
        <w:rPr>
          <w:rFonts w:hint="eastAsia" w:ascii="仿宋_GB2312" w:eastAsia="仿宋_GB2312"/>
          <w:sz w:val="32"/>
          <w:szCs w:val="32"/>
          <w:u w:val="single"/>
          <w:lang w:val="en-US" w:eastAsia="zh-CN"/>
        </w:rPr>
        <w:t>3960.2元。</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rPr>
        <w:t>上述事实，主要有以下证据证明：</w:t>
      </w:r>
      <w:r>
        <w:rPr>
          <w:rFonts w:hint="eastAsia" w:ascii="仿宋_GB2312" w:hAnsi="仿宋_GB2312" w:eastAsia="仿宋_GB2312" w:cs="仿宋_GB2312"/>
          <w:color w:val="000000"/>
          <w:sz w:val="32"/>
          <w:szCs w:val="32"/>
          <w:u w:val="single"/>
        </w:rPr>
        <w:t>1.2021年5月12日现场笔录1份；2.2021年5月12日现场照片12张；3.惠州彩运物流有限公司营业执照复印件1份、法定代表人徐进宇身份证复印件和受委托人曾庆高身份证复印件各1份以及《授权委托书》1份；4.2021年5月14日对受委托人曾庆高的询问笔录1份；5.当事人提交的《2021年4月7日伟泰发送货单》（送货单号：XS-202104070047）、《2021年4月8日伟泰发送货单》（送货单号：XS-202104080022）、《2021年4月13日伟泰发送货单》（送货单号：XS-202104130041）、《2021年4月14日伟泰发送货单》（送货单号：XS-202104140003）复印件各1份。</w:t>
      </w:r>
      <w:r>
        <w:rPr>
          <w:rFonts w:hint="eastAsia" w:ascii="仿宋_GB2312" w:hAnsi="仿宋_GB2312" w:eastAsia="仿宋_GB2312" w:cs="仿宋_GB2312"/>
          <w:color w:val="000000"/>
          <w:sz w:val="32"/>
          <w:szCs w:val="32"/>
          <w:u w:val="single"/>
          <w:lang w:val="en-US" w:eastAsia="zh-CN"/>
        </w:rPr>
        <w:t>6</w:t>
      </w:r>
      <w:r>
        <w:rPr>
          <w:rFonts w:hint="eastAsia" w:ascii="仿宋_GB2312" w:hAnsi="仿宋_GB2312" w:eastAsia="仿宋_GB2312" w:cs="仿宋_GB2312"/>
          <w:color w:val="000000"/>
          <w:sz w:val="32"/>
          <w:szCs w:val="32"/>
          <w:u w:val="single"/>
        </w:rPr>
        <w:t xml:space="preserve">.2021年6月1日当事人提交的《整改情况说明》1份。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single"/>
        </w:rPr>
        <w:t>我局于2021年7月29日依法向当事人直接送达了《行政处罚告知书》（惠湾市监西告字〔2021〕81号），当事人在法定期限内未提出陈述</w:t>
      </w:r>
      <w:r>
        <w:rPr>
          <w:rFonts w:hint="eastAsia" w:ascii="仿宋_GB2312" w:hAnsi="仿宋_GB2312" w:eastAsia="仿宋_GB2312" w:cs="仿宋_GB2312"/>
          <w:color w:val="000000"/>
          <w:sz w:val="32"/>
          <w:szCs w:val="32"/>
          <w:u w:val="single"/>
          <w:lang w:eastAsia="zh-CN"/>
        </w:rPr>
        <w:t>、</w:t>
      </w:r>
      <w:r>
        <w:rPr>
          <w:rFonts w:hint="eastAsia" w:ascii="仿宋_GB2312" w:hAnsi="仿宋_GB2312" w:eastAsia="仿宋_GB2312" w:cs="仿宋_GB2312"/>
          <w:color w:val="000000"/>
          <w:sz w:val="32"/>
          <w:szCs w:val="32"/>
          <w:u w:val="single"/>
        </w:rPr>
        <w:t>申辩意见。</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none"/>
        </w:rPr>
        <w:t>本局认为，</w:t>
      </w:r>
      <w:r>
        <w:rPr>
          <w:rFonts w:hint="eastAsia" w:ascii="仿宋_GB2312" w:hAnsi="仿宋_GB2312" w:eastAsia="仿宋_GB2312" w:cs="仿宋_GB2312"/>
          <w:color w:val="000000"/>
          <w:sz w:val="32"/>
          <w:szCs w:val="32"/>
          <w:u w:val="single"/>
        </w:rPr>
        <w:t xml:space="preserve">当事人未取得许可从事餐饮服务，违反了《中华人民共和国食品安全法》第三十五条第一款“国家对食品生产经营实行许可制度。从事食品生产、食品销售、餐饮服务，应当依法取得许可。但是，销售食用农产品，不需要取得许可。仅销售预包装食品的，应当报所在地县级以上地方人民政府食品安全监督管理部门备案。”的规定。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ascii="Times New Roman" w:hAnsi="Times New Roman" w:eastAsia="仿宋_GB2312" w:cs="仿宋"/>
          <w:color w:val="000000"/>
          <w:sz w:val="32"/>
          <w:szCs w:val="32"/>
          <w:u w:val="single"/>
        </w:rPr>
      </w:pPr>
      <w:r>
        <w:rPr>
          <w:rFonts w:hint="eastAsia" w:ascii="仿宋_GB2312" w:hAnsi="仿宋_GB2312" w:eastAsia="仿宋_GB2312" w:cs="仿宋_GB2312"/>
          <w:color w:val="000000"/>
          <w:sz w:val="32"/>
          <w:szCs w:val="32"/>
          <w:u w:val="single"/>
        </w:rPr>
        <w:t>鉴于当事人积极配合我局调查，如实交代违法事实，经营时间较短，且在我局立案后立即停止违法经营行为，申请办理食品经营许可证，并于2021年6月1日提交《整改情况说明》，能从主观认识到自身违法行为并积极整改，同时考虑到该食堂向员工免费提供就餐，无收入无利润。因此，当事人的实际情况</w:t>
      </w:r>
      <w:r>
        <w:rPr>
          <w:rFonts w:hint="eastAsia" w:ascii="仿宋_GB2312" w:hAnsi="仿宋_GB2312" w:eastAsia="仿宋_GB2312" w:cs="仿宋_GB2312"/>
          <w:color w:val="000000"/>
          <w:sz w:val="32"/>
          <w:szCs w:val="32"/>
          <w:u w:val="single"/>
          <w:lang w:eastAsia="zh-CN"/>
        </w:rPr>
        <w:t>符合</w:t>
      </w:r>
      <w:r>
        <w:rPr>
          <w:rFonts w:hint="eastAsia" w:ascii="仿宋_GB2312" w:hAnsi="仿宋_GB2312" w:eastAsia="仿宋_GB2312" w:cs="仿宋_GB2312"/>
          <w:color w:val="000000"/>
          <w:sz w:val="32"/>
          <w:szCs w:val="32"/>
          <w:u w:val="single"/>
        </w:rPr>
        <w:t>《中华人民共和国行政处罚法》第三十二条第五项“当事人有下列情形之一，应当从轻或者减轻行政处罚：(五)法律、法规、规章规定其他应当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规定</w:t>
      </w:r>
      <w:r>
        <w:rPr>
          <w:rFonts w:hint="eastAsia" w:ascii="仿宋_GB2312" w:hAnsi="仿宋_GB2312" w:eastAsia="仿宋_GB2312" w:cs="仿宋_GB2312"/>
          <w:color w:val="000000"/>
          <w:sz w:val="32"/>
          <w:szCs w:val="32"/>
          <w:u w:val="single"/>
          <w:lang w:eastAsia="zh-CN"/>
        </w:rPr>
        <w:t>的</w:t>
      </w:r>
      <w:r>
        <w:rPr>
          <w:rFonts w:hint="eastAsia" w:ascii="仿宋_GB2312" w:hAnsi="仿宋_GB2312" w:eastAsia="仿宋_GB2312" w:cs="仿宋_GB2312"/>
          <w:color w:val="000000"/>
          <w:sz w:val="32"/>
          <w:szCs w:val="32"/>
          <w:u w:val="single"/>
        </w:rPr>
        <w:t>减轻行政处罚</w:t>
      </w:r>
      <w:r>
        <w:rPr>
          <w:rFonts w:hint="eastAsia" w:ascii="仿宋_GB2312" w:hAnsi="仿宋_GB2312" w:eastAsia="仿宋_GB2312" w:cs="仿宋_GB2312"/>
          <w:color w:val="000000"/>
          <w:sz w:val="32"/>
          <w:szCs w:val="32"/>
          <w:u w:val="single"/>
          <w:lang w:eastAsia="zh-CN"/>
        </w:rPr>
        <w:t>情形</w:t>
      </w:r>
      <w:r>
        <w:rPr>
          <w:rFonts w:hint="eastAsia" w:ascii="仿宋_GB2312" w:hAnsi="仿宋_GB2312" w:eastAsia="仿宋_GB2312" w:cs="仿宋_GB2312"/>
          <w:color w:val="000000"/>
          <w:sz w:val="32"/>
          <w:szCs w:val="32"/>
          <w:u w:val="single"/>
        </w:rPr>
        <w:t>。</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综上，当事人上述行为违反了</w:t>
      </w:r>
      <w:r>
        <w:rPr>
          <w:rFonts w:hint="eastAsia" w:ascii="Times New Roman" w:hAnsi="Times New Roman" w:eastAsia="仿宋_GB2312" w:cs="仿宋"/>
          <w:color w:val="000000"/>
          <w:sz w:val="32"/>
          <w:szCs w:val="32"/>
          <w:u w:val="single"/>
        </w:rPr>
        <w:t>《中华人民共和国食品安全法》第三十五条第一款</w:t>
      </w:r>
      <w:r>
        <w:rPr>
          <w:rFonts w:hint="eastAsia" w:ascii="Times New Roman" w:hAnsi="Times New Roman" w:eastAsia="仿宋_GB2312" w:cs="仿宋"/>
          <w:color w:val="000000"/>
          <w:sz w:val="32"/>
          <w:szCs w:val="32"/>
          <w:u w:val="single"/>
          <w:lang w:eastAsia="zh-CN"/>
        </w:rPr>
        <w:t>的规定</w:t>
      </w:r>
      <w:r>
        <w:rPr>
          <w:rFonts w:hint="eastAsia" w:ascii="Times New Roman" w:hAnsi="Times New Roman" w:eastAsia="仿宋_GB2312" w:cs="仿宋"/>
          <w:color w:val="000000"/>
          <w:sz w:val="32"/>
          <w:szCs w:val="32"/>
          <w:u w:val="none"/>
          <w:lang w:eastAsia="zh-CN"/>
        </w:rPr>
        <w:t>，</w:t>
      </w:r>
      <w:r>
        <w:rPr>
          <w:rFonts w:hint="eastAsia" w:ascii="Times New Roman" w:hAnsi="Times New Roman" w:eastAsia="仿宋_GB2312" w:cs="仿宋"/>
          <w:color w:val="000000"/>
          <w:sz w:val="32"/>
          <w:szCs w:val="32"/>
        </w:rPr>
        <w:t>依据</w:t>
      </w:r>
      <w:r>
        <w:rPr>
          <w:rFonts w:hint="eastAsia" w:ascii="Times New Roman" w:hAnsi="Times New Roman" w:eastAsia="仿宋_GB2312" w:cs="仿宋"/>
          <w:color w:val="000000"/>
          <w:sz w:val="32"/>
          <w:szCs w:val="32"/>
          <w:u w:val="single"/>
        </w:rPr>
        <w:t>《中华人民共和国食品安全法》第一百二十二条第一款“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r>
        <w:rPr>
          <w:rFonts w:hint="eastAsia" w:ascii="Times New Roman" w:hAnsi="Times New Roman" w:eastAsia="仿宋_GB2312" w:cs="仿宋"/>
          <w:color w:val="000000"/>
          <w:sz w:val="32"/>
          <w:szCs w:val="32"/>
          <w:u w:val="single"/>
          <w:lang w:eastAsia="zh-CN"/>
        </w:rPr>
        <w:t>、《中华人民共和国行政处罚法》第三十二条第五项“当事人有下列情形之一，应当从轻或者减轻行政处罚：(五)法律、法规、规章规定其他应当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以及《中华人民共和国行政处罚法》第二十八条第一款“行政机关实施行政处罚时，应当责令当事人改正或者限期改正违法行为。”的规定</w:t>
      </w:r>
      <w:r>
        <w:rPr>
          <w:rFonts w:hint="eastAsia" w:ascii="Times New Roman" w:hAnsi="Times New Roman" w:eastAsia="仿宋_GB2312" w:cs="仿宋"/>
          <w:color w:val="000000"/>
          <w:sz w:val="32"/>
          <w:szCs w:val="32"/>
        </w:rPr>
        <w:t>，现责令当事人改正上述违法行为，并决定处罚如下：</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u w:val="single"/>
          <w:lang w:val="en-US" w:eastAsia="zh-CN"/>
        </w:rPr>
        <w:t>1</w:t>
      </w:r>
      <w:r>
        <w:rPr>
          <w:rFonts w:hint="eastAsia" w:ascii="仿宋_GB2312" w:hAnsi="仿宋_GB2312" w:eastAsia="仿宋_GB2312" w:cs="仿宋_GB2312"/>
          <w:color w:val="000000"/>
          <w:sz w:val="32"/>
          <w:szCs w:val="32"/>
          <w:u w:val="single"/>
        </w:rPr>
        <w:t xml:space="preserve">．没收用于违法生产经营的食品及工具；                </w:t>
      </w:r>
      <w:r>
        <w:rPr>
          <w:rFonts w:hint="eastAsia" w:ascii="仿宋_GB2312" w:hAnsi="仿宋_GB2312" w:eastAsia="仿宋_GB2312" w:cs="仿宋_GB2312"/>
          <w:color w:val="000000"/>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lang w:val="en-US" w:eastAsia="zh-CN"/>
        </w:rPr>
        <w:t>2．处以罚款人民币壹万元整（¥10000.00）。</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ascii="Times New Roman" w:hAnsi="Times New Roman" w:eastAsia="仿宋_GB2312" w:cs="仿宋"/>
          <w:color w:val="000000"/>
          <w:sz w:val="32"/>
          <w:szCs w:val="32"/>
          <w:u w:val="single"/>
        </w:rPr>
      </w:pPr>
      <w:r>
        <w:rPr>
          <w:rFonts w:hint="eastAsia" w:ascii="仿宋_GB2312" w:hAnsi="仿宋_GB2312" w:eastAsia="仿宋_GB2312" w:cs="仿宋_GB2312"/>
          <w:color w:val="000000"/>
          <w:sz w:val="32"/>
          <w:szCs w:val="32"/>
          <w:u w:val="single"/>
        </w:rPr>
        <w:t>当事人应自接到本处罚决定书之日起15日到惠州大亚湾建设银行、工商银行、农业银行的其中一间银行缴纳罚款，或者使用惠州大亚湾经济技术开发区市场监督管理局的POS机刷卡缴纳罚款。逾期不缴纳罚款的，根据《中华人民共和国行政处罚法》第七十二条第一项的规定，每日按罚款数额的3%加处罚款，并依法申请人民法院强制执行。</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u w:val="single"/>
        </w:rPr>
        <w:t xml:space="preserve">如不服从本处罚决定，可在接到本处罚决定书之日起60日内向大亚湾区管委会申请行政复议，也可于6个月内向博罗县人民法院提起行政诉讼。申请行政复议或者提起行政诉讼期间，行政处罚不停止执行。                                                                          </w:t>
      </w:r>
    </w:p>
    <w:p>
      <w:pPr>
        <w:keepNext w:val="0"/>
        <w:keepLines w:val="0"/>
        <w:pageBreakBefore w:val="0"/>
        <w:widowControl w:val="0"/>
        <w:kinsoku/>
        <w:overflowPunct/>
        <w:topLinePunct w:val="0"/>
        <w:autoSpaceDE/>
        <w:autoSpaceDN/>
        <w:bidi w:val="0"/>
        <w:adjustRightInd/>
        <w:spacing w:line="52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01"/>
        <w:jc w:val="center"/>
        <w:textAlignment w:val="auto"/>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 xml:space="preserve">             惠州大亚湾经济技术开发区市场监督管理局</w:t>
      </w:r>
    </w:p>
    <w:p>
      <w:pPr>
        <w:keepNext w:val="0"/>
        <w:keepLines w:val="0"/>
        <w:pageBreakBefore w:val="0"/>
        <w:widowControl w:val="0"/>
        <w:kinsoku/>
        <w:overflowPunct/>
        <w:topLinePunct w:val="0"/>
        <w:autoSpaceDE/>
        <w:autoSpaceDN/>
        <w:bidi w:val="0"/>
        <w:adjustRightInd/>
        <w:spacing w:line="520" w:lineRule="exact"/>
        <w:ind w:right="640"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20" w:lineRule="exact"/>
        <w:ind w:right="640" w:firstLine="60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2021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520" w:lineRule="exact"/>
        <w:jc w:val="both"/>
        <w:textAlignment w:val="auto"/>
        <w:rPr>
          <w:rFonts w:hint="eastAsia" w:ascii="黑体" w:hAnsi="黑体" w:eastAsia="黑体" w:cs="黑体"/>
          <w:b w:val="0"/>
          <w:bCs w:val="0"/>
          <w:color w:val="000000"/>
          <w:sz w:val="30"/>
          <w:szCs w:val="30"/>
        </w:rPr>
      </w:pPr>
    </w:p>
    <w:p>
      <w:pPr>
        <w:keepNext w:val="0"/>
        <w:keepLines w:val="0"/>
        <w:pageBreakBefore w:val="0"/>
        <w:widowControl w:val="0"/>
        <w:kinsoku/>
        <w:wordWrap w:val="0"/>
        <w:overflowPunct/>
        <w:topLinePunct w:val="0"/>
        <w:autoSpaceDE/>
        <w:autoSpaceDN/>
        <w:bidi w:val="0"/>
        <w:adjustRightInd/>
        <w:snapToGrid w:val="0"/>
        <w:spacing w:line="520" w:lineRule="exact"/>
        <w:jc w:val="both"/>
        <w:textAlignment w:val="auto"/>
        <w:rPr>
          <w:rFonts w:hint="eastAsia" w:ascii="黑体" w:hAnsi="黑体" w:eastAsia="黑体" w:cs="黑体"/>
          <w:b w:val="0"/>
          <w:bCs w:val="0"/>
          <w:color w:val="000000"/>
          <w:sz w:val="30"/>
          <w:szCs w:val="30"/>
        </w:rPr>
      </w:pPr>
    </w:p>
    <w:p>
      <w:pPr>
        <w:keepNext w:val="0"/>
        <w:keepLines w:val="0"/>
        <w:pageBreakBefore w:val="0"/>
        <w:widowControl w:val="0"/>
        <w:kinsoku/>
        <w:wordWrap w:val="0"/>
        <w:overflowPunct/>
        <w:topLinePunct w:val="0"/>
        <w:autoSpaceDE/>
        <w:autoSpaceDN/>
        <w:bidi w:val="0"/>
        <w:adjustRightInd/>
        <w:snapToGrid w:val="0"/>
        <w:spacing w:line="520" w:lineRule="exact"/>
        <w:jc w:val="center"/>
        <w:textAlignment w:val="auto"/>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1312" behindDoc="0" locked="0" layoutInCell="1" allowOverlap="1">
                <wp:simplePos x="0" y="0"/>
                <wp:positionH relativeFrom="column">
                  <wp:posOffset>-20320</wp:posOffset>
                </wp:positionH>
                <wp:positionV relativeFrom="paragraph">
                  <wp:posOffset>314960</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24.8pt;height:0.05pt;width:437.05pt;z-index:251661312;mso-width-relative:page;mso-height-relative:page;" filled="f" stroked="t" coordsize="21600,21600" o:gfxdata="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CJUO3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r>
        <w:rPr>
          <w:rFonts w:hint="eastAsia" w:ascii="黑体" w:hAnsi="黑体" w:eastAsia="黑体" w:cs="黑体"/>
          <w:b w:val="0"/>
          <w:bCs w:val="0"/>
          <w:color w:val="000000"/>
          <w:sz w:val="30"/>
          <w:szCs w:val="30"/>
        </w:rPr>
        <w:t>（市场监督管理部门将依法向社会公开行政处罚决定信息）</w:t>
      </w:r>
    </w:p>
    <w:p>
      <w:pPr>
        <w:pStyle w:val="3"/>
        <w:keepNext w:val="0"/>
        <w:keepLines w:val="0"/>
        <w:pageBreakBefore w:val="0"/>
        <w:widowControl w:val="0"/>
        <w:kinsoku/>
        <w:overflowPunct/>
        <w:topLinePunct w:val="0"/>
        <w:autoSpaceDE/>
        <w:autoSpaceDN/>
        <w:bidi w:val="0"/>
        <w:adjustRightInd/>
        <w:spacing w:line="520" w:lineRule="exact"/>
        <w:jc w:val="center"/>
        <w:textAlignment w:val="auto"/>
      </w:pP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 w:cs="仿宋"/>
          <w:color w:val="000000"/>
          <w:sz w:val="32"/>
          <w:szCs w:val="32"/>
        </w:rPr>
        <w:t>。</w:t>
      </w:r>
    </w:p>
    <w:sectPr>
      <w:footerReference r:id="rId3" w:type="default"/>
      <w:pgSz w:w="11906" w:h="16838"/>
      <w:pgMar w:top="1440" w:right="1559" w:bottom="1440"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sz w:val="24"/>
                              <w:szCs w:val="40"/>
                              <w:lang w:eastAsia="zh-CN"/>
                            </w:rPr>
                          </w:pPr>
                          <w:r>
                            <w:rPr>
                              <w:rFonts w:hint="eastAsia"/>
                              <w:sz w:val="24"/>
                              <w:szCs w:val="40"/>
                              <w:lang w:eastAsia="zh-CN"/>
                            </w:rPr>
                            <w:t xml:space="preserve">第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eastAsia="zh-CN"/>
                            </w:rPr>
                            <w:t xml:space="preserve"> 页 共 </w:t>
                          </w:r>
                          <w:r>
                            <w:rPr>
                              <w:rFonts w:hint="eastAsia"/>
                              <w:sz w:val="24"/>
                              <w:szCs w:val="40"/>
                              <w:lang w:eastAsia="zh-CN"/>
                            </w:rPr>
                            <w:fldChar w:fldCharType="begin"/>
                          </w:r>
                          <w:r>
                            <w:rPr>
                              <w:rFonts w:hint="eastAsia"/>
                              <w:sz w:val="24"/>
                              <w:szCs w:val="40"/>
                              <w:lang w:eastAsia="zh-CN"/>
                            </w:rPr>
                            <w:instrText xml:space="preserve"> NUMPAGES  \* MERGEFORMAT </w:instrText>
                          </w:r>
                          <w:r>
                            <w:rPr>
                              <w:rFonts w:hint="eastAsia"/>
                              <w:sz w:val="24"/>
                              <w:szCs w:val="40"/>
                              <w:lang w:eastAsia="zh-CN"/>
                            </w:rPr>
                            <w:fldChar w:fldCharType="separate"/>
                          </w:r>
                          <w:r>
                            <w:rPr>
                              <w:rFonts w:hint="eastAsia"/>
                              <w:sz w:val="24"/>
                              <w:szCs w:val="40"/>
                              <w:lang w:eastAsia="zh-CN"/>
                            </w:rPr>
                            <w:t>2</w:t>
                          </w:r>
                          <w:r>
                            <w:rPr>
                              <w:rFonts w:hint="eastAsia"/>
                              <w:sz w:val="24"/>
                              <w:szCs w:val="40"/>
                              <w:lang w:eastAsia="zh-CN"/>
                            </w:rPr>
                            <w:fldChar w:fldCharType="end"/>
                          </w:r>
                          <w:r>
                            <w:rPr>
                              <w:rFonts w:hint="eastAsia"/>
                              <w:sz w:val="24"/>
                              <w:szCs w:val="40"/>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sz w:val="24"/>
                        <w:szCs w:val="40"/>
                        <w:lang w:eastAsia="zh-CN"/>
                      </w:rPr>
                    </w:pPr>
                    <w:r>
                      <w:rPr>
                        <w:rFonts w:hint="eastAsia"/>
                        <w:sz w:val="24"/>
                        <w:szCs w:val="40"/>
                        <w:lang w:eastAsia="zh-CN"/>
                      </w:rPr>
                      <w:t xml:space="preserve">第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eastAsia="zh-CN"/>
                      </w:rPr>
                      <w:t xml:space="preserve"> 页 共 </w:t>
                    </w:r>
                    <w:r>
                      <w:rPr>
                        <w:rFonts w:hint="eastAsia"/>
                        <w:sz w:val="24"/>
                        <w:szCs w:val="40"/>
                        <w:lang w:eastAsia="zh-CN"/>
                      </w:rPr>
                      <w:fldChar w:fldCharType="begin"/>
                    </w:r>
                    <w:r>
                      <w:rPr>
                        <w:rFonts w:hint="eastAsia"/>
                        <w:sz w:val="24"/>
                        <w:szCs w:val="40"/>
                        <w:lang w:eastAsia="zh-CN"/>
                      </w:rPr>
                      <w:instrText xml:space="preserve"> NUMPAGES  \* MERGEFORMAT </w:instrText>
                    </w:r>
                    <w:r>
                      <w:rPr>
                        <w:rFonts w:hint="eastAsia"/>
                        <w:sz w:val="24"/>
                        <w:szCs w:val="40"/>
                        <w:lang w:eastAsia="zh-CN"/>
                      </w:rPr>
                      <w:fldChar w:fldCharType="separate"/>
                    </w:r>
                    <w:r>
                      <w:rPr>
                        <w:rFonts w:hint="eastAsia"/>
                        <w:sz w:val="24"/>
                        <w:szCs w:val="40"/>
                        <w:lang w:eastAsia="zh-CN"/>
                      </w:rPr>
                      <w:t>2</w:t>
                    </w:r>
                    <w:r>
                      <w:rPr>
                        <w:rFonts w:hint="eastAsia"/>
                        <w:sz w:val="24"/>
                        <w:szCs w:val="40"/>
                        <w:lang w:eastAsia="zh-CN"/>
                      </w:rPr>
                      <w:fldChar w:fldCharType="end"/>
                    </w:r>
                    <w:r>
                      <w:rPr>
                        <w:rFonts w:hint="eastAsia"/>
                        <w:sz w:val="24"/>
                        <w:szCs w:val="40"/>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A483156"/>
    <w:rsid w:val="0AB8293D"/>
    <w:rsid w:val="0AF00C98"/>
    <w:rsid w:val="0B581F25"/>
    <w:rsid w:val="0F0C4DEC"/>
    <w:rsid w:val="1BA300A3"/>
    <w:rsid w:val="1C0A64EF"/>
    <w:rsid w:val="1D5A1879"/>
    <w:rsid w:val="277B6956"/>
    <w:rsid w:val="33F956AE"/>
    <w:rsid w:val="35BA74B5"/>
    <w:rsid w:val="37584790"/>
    <w:rsid w:val="38912164"/>
    <w:rsid w:val="39EF22F8"/>
    <w:rsid w:val="3C5C07C7"/>
    <w:rsid w:val="40533625"/>
    <w:rsid w:val="440B0B3A"/>
    <w:rsid w:val="4B7B3D46"/>
    <w:rsid w:val="4E345BE0"/>
    <w:rsid w:val="528F6ABE"/>
    <w:rsid w:val="52E723B8"/>
    <w:rsid w:val="550B11C5"/>
    <w:rsid w:val="609020B1"/>
    <w:rsid w:val="6C1803CF"/>
    <w:rsid w:val="6EAB008A"/>
    <w:rsid w:val="78916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2021-08-05T01:03:00Z</cp:lastPrinted>
  <dcterms:modified xsi:type="dcterms:W3CDTF">2021-08-26T08:19:42Z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329CDA23C0FD4C8390D4BDCF780887BC</vt:lpwstr>
  </property>
</Properties>
</file>