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312" w:beforeLines="100" w:after="312" w:afterLines="100" w:line="5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lang w:val="en-US" w:eastAsia="zh-CN"/>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lang w:val="en-US" w:eastAsia="zh-CN"/>
        </w:rPr>
        <w:t>西处罚</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2021</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104</w:t>
      </w:r>
      <w:r>
        <w:rPr>
          <w:rFonts w:hint="eastAsia" w:ascii="Times New Roman" w:hAnsi="Times New Roman" w:eastAsia="仿宋_GB2312" w:cs="仿宋"/>
          <w:color w:val="000000"/>
          <w:sz w:val="32"/>
          <w:szCs w:val="32"/>
        </w:rPr>
        <w:t>号</w:t>
      </w:r>
    </w:p>
    <w:p>
      <w:pPr>
        <w:keepNext w:val="0"/>
        <w:keepLines w:val="0"/>
        <w:pageBreakBefore w:val="0"/>
        <w:widowControl w:val="0"/>
        <w:kinsoku/>
        <w:overflowPunct/>
        <w:topLinePunct w:val="0"/>
        <w:autoSpaceDE/>
        <w:autoSpaceDN/>
        <w:bidi w:val="0"/>
        <w:adjustRightInd/>
        <w:spacing w:line="560" w:lineRule="exact"/>
        <w:textAlignment w:val="auto"/>
        <w:rPr>
          <w:rFonts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w:t>
      </w:r>
      <w:r>
        <w:rPr>
          <w:rFonts w:hint="eastAsia" w:ascii="Times New Roman" w:hAnsi="Times New Roman" w:eastAsia="仿宋_GB2312" w:cs="Mongolian Baiti"/>
          <w:kern w:val="1"/>
          <w:sz w:val="32"/>
          <w:szCs w:val="32"/>
          <w:u w:val="single"/>
          <w:lang w:val="en-US" w:eastAsia="zh-CN"/>
        </w:rPr>
        <w:t>惠州大亚湾伟平烧腊店（经营者：黄伟平）</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主体资格证照名称：</w:t>
      </w:r>
      <w:r>
        <w:rPr>
          <w:rFonts w:hint="eastAsia" w:ascii="Times New Roman" w:hAnsi="Times New Roman" w:eastAsia="仿宋_GB2312" w:cs="Mongolian Baiti"/>
          <w:kern w:val="1"/>
          <w:sz w:val="32"/>
          <w:szCs w:val="32"/>
          <w:u w:val="single"/>
          <w:lang w:val="en-US" w:eastAsia="zh-CN"/>
        </w:rPr>
        <w:t xml:space="preserve">营业执照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统一社会信用代码：</w:t>
      </w:r>
      <w:r>
        <w:rPr>
          <w:rFonts w:hint="eastAsia" w:ascii="Times New Roman" w:hAnsi="Times New Roman" w:eastAsia="仿宋_GB2312" w:cs="Mongolian Baiti"/>
          <w:kern w:val="1"/>
          <w:sz w:val="32"/>
          <w:szCs w:val="32"/>
          <w:u w:val="single"/>
        </w:rPr>
        <w:t xml:space="preserve">92441300MA4XPUBA4Q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法定代表人（负责人、经营者）：</w:t>
      </w:r>
      <w:r>
        <w:rPr>
          <w:rFonts w:hint="eastAsia" w:ascii="Times New Roman" w:hAnsi="Times New Roman" w:eastAsia="仿宋_GB2312" w:cs="Mongolian Baiti"/>
          <w:kern w:val="1"/>
          <w:sz w:val="32"/>
          <w:szCs w:val="32"/>
          <w:u w:val="single"/>
          <w:lang w:val="en-US" w:eastAsia="zh-CN"/>
        </w:rPr>
        <w:t xml:space="preserve">黄伟平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Mongolian Baiti"/>
          <w:kern w:val="1"/>
          <w:sz w:val="32"/>
          <w:szCs w:val="32"/>
          <w:u w:val="single"/>
        </w:rPr>
      </w:pPr>
      <w:bookmarkStart w:id="0" w:name="_GoBack"/>
      <w:bookmarkEnd w:id="0"/>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于2021年3月25日接12315转来的投诉件（消保2021-0665），投诉人称位于大亚湾西区惠湾花园的黄师傅猪脚饭店销售的叉烧颜色非常红，疑似存在食品安全问题，要求</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查处。2021年4月7日，</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 xml:space="preserve">委托深圳市通量检测科技有限公司对位于惠州大亚湾西区桂花路2号惠湾花园5栋1层18号房的惠州大亚湾黄师傅猪脚饭店销售的叉烧进行抽样检验，于2021年5月8日收到《检验报告》（NO：2104006869），报告显示“经抽样检验，‘胭脂红’项目不符合GB2760-2014《食品安全国家标准 食品添加剂使用标准》要求，检验结论为不合格”。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u w:val="single"/>
        </w:rPr>
        <w:t xml:space="preserve">经核查，惠州大亚湾黄师傅猪脚饭店所售的不合格叉烧（已另案处理）的供应商为惠州大亚湾伟平烧腊店。2021年5月10日下午执法人员对位于大亚湾西区鸿达市场的惠州大亚湾伟平烧腊店依法进行检查，检查现场经营者黄伟平的妻子蓝秀萍承认该批不合格叉烧是本店制售的，执法人员未发现抽检批次不合格的叉烧。在蓝秀萍的陪同下，执法人员前往其位于大亚湾西区上杨28号的住址依法进行检查，现场检查时，经营者的儿子、儿媳正在处理食材，地上摆放有大量未加工的光鸡、光鸭，未见加工完的叉烧，执法人员在其厨房发现了1桶红色液体和1瓶已使用过的食品添加剂“橙红”，另在仓库发现有6瓶未使用的食品添加剂“橙红”，该食品添加剂“橙红”的配料表上写着“胭脂红10%”，根据《食品安全国家标准 食品添加剂使用标准》（GB2760-2014）的规定，胭脂红及其铝色淀在熟肉制品中不得使用。经营者的儿子黄可斌称厨房发现的1桶红色液体添加了食品添加剂“橙红”，准备用于制作叉烧，我执法人员与黄可斌现场对该桶红色液体进行销毁处理。当事人于当天在其烧腊店张贴了《食品召回通知书》，对不合格叉烧进行召回处理。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Mongolian Baiti"/>
          <w:kern w:val="1"/>
          <w:sz w:val="32"/>
          <w:szCs w:val="32"/>
          <w:u w:val="single"/>
        </w:rPr>
        <w:t>经初步调查，当事人涉嫌生产经营超范围使用食品添加剂的“叉烧”的行为，违反了《中华人民共和国食品安全法》第三十四条第四项的规定。</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于当日对当事人立案调查，对其用于违法经营的食品添加剂实施了扣押的行政强制措施（详见《财物清单》（文书编号：28），并现场责令当事人立即停止违法经营行为。</w:t>
      </w:r>
      <w:r>
        <w:rPr>
          <w:rFonts w:hint="eastAsia" w:ascii="楷体_GB2312" w:hAnsi="楷体_GB2312" w:eastAsia="楷体_GB2312" w:cs="楷体_GB2312"/>
          <w:color w:val="000000"/>
          <w:sz w:val="32"/>
          <w:szCs w:val="32"/>
          <w:u w:val="single"/>
          <w:lang w:val="en-US" w:eastAsia="zh-CN"/>
        </w:rPr>
        <w:t xml:space="preserve">                          </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val="en-US" w:eastAsia="zh-CN"/>
        </w:rPr>
        <w:t xml:space="preserve">               </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Mongolian Baiti"/>
          <w:kern w:val="1"/>
          <w:sz w:val="32"/>
          <w:szCs w:val="32"/>
          <w:u w:val="none"/>
          <w:lang w:val="en-US" w:eastAsia="zh-CN"/>
        </w:rPr>
        <w:t>经查，</w:t>
      </w:r>
      <w:r>
        <w:rPr>
          <w:rFonts w:hint="eastAsia" w:ascii="Times New Roman" w:hAnsi="Times New Roman" w:eastAsia="仿宋_GB2312" w:cs="Mongolian Baiti"/>
          <w:kern w:val="1"/>
          <w:sz w:val="32"/>
          <w:szCs w:val="32"/>
          <w:u w:val="single"/>
        </w:rPr>
        <w:t xml:space="preserve">当事人为达到叉烧成色好、卖相佳的目的，从2021年4月开始在其住址制作叉烧的过程中添加了含有“胭脂红”的食品添加剂“橙红”，生产好后在其位于西区鸿达市场的烧腊店进行销售。据当事人所述，从其2021年4月使用食品添加剂“橙红”制作叉烧开始，截止至2021年5月10日我执法人员现场检查时，这期间当事人共生产叉烧30斤，已全部售出，成本价是40元/斤，销售价是45元/斤。而该批不合格叉烧是当事人于2021年4月7日生产的，共生产5斤，已全部售出。该食品添加剂“橙红”的进货价为20元/瓶，当事人一共购进7瓶，使用了半瓶。在本案的调查过程中，当事人未建立账本账册，无法提供叉烧的进出货票据，根据当事人陈述及《财物清单》第28号，该案涉案货值金额为1490元，违法所得为1350元（本案违法所得的计算方式：销售价*销售数量）。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color w:val="000000"/>
          <w:sz w:val="32"/>
          <w:szCs w:val="32"/>
        </w:rPr>
        <w:t>上述事实，主要有以下证据证明：</w:t>
      </w:r>
      <w:r>
        <w:rPr>
          <w:rFonts w:hint="eastAsia" w:ascii="Times New Roman" w:hAnsi="Times New Roman" w:eastAsia="仿宋_GB2312" w:cs="Mongolian Baiti"/>
          <w:kern w:val="1"/>
          <w:sz w:val="32"/>
          <w:szCs w:val="32"/>
          <w:u w:val="single"/>
        </w:rPr>
        <w:t>《检验报告》、现场笔录、证据取证粘纸、当事人的询问笔录和营业执照复印件、食品经营许可证复印件、身份证复印件、惠州大亚湾黄师傅猪脚饭店经营者黄汉炳提供的该批不合格叉烧的进货票据和供应商的营业执照复印件、食品经营许可证复印件及其2021年5月11日询问笔录复印件，事实清楚，证据确凿。</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lang w:val="en-US" w:eastAsia="zh-CN"/>
        </w:rPr>
      </w:pPr>
      <w:r>
        <w:rPr>
          <w:rFonts w:hint="eastAsia" w:ascii="Times New Roman" w:hAnsi="Times New Roman" w:eastAsia="仿宋_GB2312" w:cs="Mongolian Baiti"/>
          <w:kern w:val="1"/>
          <w:sz w:val="32"/>
          <w:szCs w:val="32"/>
          <w:u w:val="single"/>
        </w:rPr>
        <w:t>本局于2021年</w:t>
      </w:r>
      <w:r>
        <w:rPr>
          <w:rFonts w:hint="eastAsia" w:ascii="Times New Roman" w:hAnsi="Times New Roman" w:eastAsia="仿宋_GB2312" w:cs="Mongolian Baiti"/>
          <w:kern w:val="1"/>
          <w:sz w:val="32"/>
          <w:szCs w:val="32"/>
          <w:u w:val="single"/>
          <w:lang w:val="en-US" w:eastAsia="zh-CN"/>
        </w:rPr>
        <w:t>7</w:t>
      </w:r>
      <w:r>
        <w:rPr>
          <w:rFonts w:hint="eastAsia" w:ascii="Times New Roman" w:hAnsi="Times New Roman" w:eastAsia="仿宋_GB2312" w:cs="Mongolian Baiti"/>
          <w:kern w:val="1"/>
          <w:sz w:val="32"/>
          <w:szCs w:val="32"/>
          <w:u w:val="single"/>
        </w:rPr>
        <w:t>月2</w:t>
      </w:r>
      <w:r>
        <w:rPr>
          <w:rFonts w:hint="eastAsia" w:ascii="Times New Roman" w:hAnsi="Times New Roman" w:eastAsia="仿宋_GB2312" w:cs="Mongolian Baiti"/>
          <w:kern w:val="1"/>
          <w:sz w:val="32"/>
          <w:szCs w:val="32"/>
          <w:u w:val="single"/>
          <w:lang w:val="en-US" w:eastAsia="zh-CN"/>
        </w:rPr>
        <w:t>9</w:t>
      </w:r>
      <w:r>
        <w:rPr>
          <w:rFonts w:hint="eastAsia" w:ascii="Times New Roman" w:hAnsi="Times New Roman" w:eastAsia="仿宋_GB2312" w:cs="Mongolian Baiti"/>
          <w:kern w:val="1"/>
          <w:sz w:val="32"/>
          <w:szCs w:val="32"/>
          <w:u w:val="single"/>
        </w:rPr>
        <w:t xml:space="preserve">日向当事人送达了《行政处罚告知书》（惠湾市监西罚告〔2021〕104号），当事人在法定期限内未提出陈述、申辩及举行听证要求。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Mongolian Baiti"/>
          <w:kern w:val="1"/>
          <w:sz w:val="32"/>
          <w:szCs w:val="32"/>
          <w:u w:val="none"/>
        </w:rPr>
        <w:t>本局认为，</w:t>
      </w:r>
      <w:r>
        <w:rPr>
          <w:rFonts w:hint="eastAsia" w:ascii="Times New Roman" w:hAnsi="Times New Roman" w:eastAsia="仿宋_GB2312" w:cs="Mongolian Baiti"/>
          <w:kern w:val="1"/>
          <w:sz w:val="32"/>
          <w:szCs w:val="32"/>
          <w:u w:val="single"/>
        </w:rPr>
        <w:t>当事人生产经营超范围使用食品添加剂的“叉烧”的行为，违反了《中华人民共和国食品安全法》第三十四条第四项，即“禁止生产经营下列食品、食品添加剂、食品相关产品：（四）超范围、超限量使用食品添加剂的食品；”的规定。现根据《中华人民共和国食品安全法》第一百二十四条第一款第三项，即“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三）生产经营超范围、超限量使用食品添加剂的食品；”</w:t>
      </w:r>
      <w:r>
        <w:rPr>
          <w:rFonts w:hint="eastAsia" w:ascii="Times New Roman" w:hAnsi="Times New Roman" w:eastAsia="仿宋_GB2312" w:cs="Mongolian Baiti"/>
          <w:kern w:val="1"/>
          <w:sz w:val="32"/>
          <w:szCs w:val="32"/>
          <w:u w:val="single"/>
          <w:lang w:val="en-US" w:eastAsia="zh-CN"/>
        </w:rPr>
        <w:t xml:space="preserve">的规定，对当事人进行行政处罚。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u w:val="single"/>
        </w:rPr>
        <w:t>鉴于当事人在</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立案调查期间，积极配合</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调查取证，如实交代违法事实、主动提供证据材料，并且能从主观认识自身违法行为，于2021年6月30日向</w:t>
      </w:r>
      <w:r>
        <w:rPr>
          <w:rFonts w:hint="eastAsia" w:ascii="Times New Roman" w:hAnsi="Times New Roman" w:eastAsia="仿宋_GB2312" w:cs="Mongolian Baiti"/>
          <w:kern w:val="1"/>
          <w:sz w:val="32"/>
          <w:szCs w:val="32"/>
          <w:u w:val="single"/>
          <w:lang w:eastAsia="zh-CN"/>
        </w:rPr>
        <w:t>本局</w:t>
      </w:r>
      <w:r>
        <w:rPr>
          <w:rFonts w:hint="eastAsia" w:ascii="Times New Roman" w:hAnsi="Times New Roman" w:eastAsia="仿宋_GB2312" w:cs="Mongolian Baiti"/>
          <w:kern w:val="1"/>
          <w:sz w:val="32"/>
          <w:szCs w:val="32"/>
          <w:u w:val="single"/>
        </w:rPr>
        <w:t xml:space="preserve">递交《减轻处罚申请书》，反省错误。当事人的上述行为符合《中华人民共和国行政处罚法》第三十二条第五项，即“当事人有下列情形之一，应当从轻或者减轻行政处罚：（五）法律、法规、规章规定其他应当从轻或者减轻行政处罚的。”及《广东省市场监督管理局关于行政处罚自由裁量权的适用规则》第十七条第一项，即“有下列情形之一的，可以依法从轻或者减轻行政处罚：（一）积极配合市场监督管理部门调查，如实交代违法事实并主动提供证据材料的”的规定情形，依法适用减轻行政处罚。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综上，当事人上述行为违反了</w:t>
      </w:r>
      <w:r>
        <w:rPr>
          <w:rFonts w:hint="eastAsia" w:ascii="Times New Roman" w:hAnsi="Times New Roman" w:eastAsia="仿宋_GB2312" w:cs="仿宋"/>
          <w:color w:val="000000"/>
          <w:sz w:val="32"/>
          <w:szCs w:val="32"/>
          <w:u w:val="single"/>
        </w:rPr>
        <w:t>《中华人民共和国食品安全法》第三十四条第四项</w:t>
      </w:r>
      <w:r>
        <w:rPr>
          <w:rFonts w:hint="eastAsia" w:ascii="Times New Roman" w:hAnsi="Times New Roman" w:eastAsia="仿宋_GB2312" w:cs="仿宋"/>
          <w:color w:val="000000"/>
          <w:sz w:val="32"/>
          <w:szCs w:val="32"/>
          <w:u w:val="single"/>
          <w:lang w:val="en-US" w:eastAsia="zh-CN"/>
        </w:rPr>
        <w:t>的规定</w:t>
      </w:r>
      <w:r>
        <w:rPr>
          <w:rFonts w:hint="eastAsia" w:ascii="Times New Roman" w:hAnsi="Times New Roman" w:eastAsia="仿宋_GB2312" w:cs="仿宋"/>
          <w:color w:val="000000"/>
          <w:sz w:val="32"/>
          <w:szCs w:val="32"/>
        </w:rPr>
        <w:t>，依据</w:t>
      </w:r>
      <w:r>
        <w:rPr>
          <w:rFonts w:hint="eastAsia" w:ascii="Times New Roman" w:hAnsi="Times New Roman" w:eastAsia="仿宋_GB2312" w:cs="仿宋"/>
          <w:color w:val="000000"/>
          <w:sz w:val="32"/>
          <w:szCs w:val="32"/>
          <w:u w:val="single"/>
        </w:rPr>
        <w:t>《中华人民共和国食品安全法》第一百二十四条第一款第三项、《中华人民共和国行政处罚法》第二十八条第一款、第三十二条第五项及《广东省市场监督管理局关于行政处罚自由裁量权的适用规则》第十七条第一项的规定</w:t>
      </w:r>
      <w:r>
        <w:rPr>
          <w:rFonts w:hint="eastAsia" w:ascii="Times New Roman" w:hAnsi="Times New Roman" w:eastAsia="仿宋_GB2312" w:cs="仿宋"/>
          <w:color w:val="000000"/>
          <w:sz w:val="32"/>
          <w:szCs w:val="32"/>
        </w:rPr>
        <w:t>，现责令当事人改正上述违法行为，并决定处罚如下：</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仿宋"/>
          <w:color w:val="000000"/>
          <w:sz w:val="32"/>
          <w:szCs w:val="32"/>
          <w:u w:val="single"/>
          <w:lang w:val="en-US" w:eastAsia="zh-CN"/>
        </w:rPr>
      </w:pPr>
      <w:r>
        <w:rPr>
          <w:rFonts w:hint="eastAsia" w:ascii="Times New Roman" w:hAnsi="Times New Roman" w:eastAsia="仿宋_GB2312" w:cs="仿宋"/>
          <w:color w:val="000000"/>
          <w:sz w:val="32"/>
          <w:szCs w:val="32"/>
          <w:u w:val="single"/>
          <w:lang w:val="en-US" w:eastAsia="zh-CN"/>
        </w:rPr>
        <w:t>1</w:t>
      </w:r>
      <w:r>
        <w:rPr>
          <w:rFonts w:hint="eastAsia" w:ascii="Times New Roman" w:hAnsi="Times New Roman" w:eastAsia="仿宋_GB2312" w:cs="仿宋"/>
          <w:color w:val="000000"/>
          <w:sz w:val="32"/>
          <w:szCs w:val="32"/>
          <w:u w:val="single"/>
        </w:rPr>
        <w:t>．罚款人民币伍仟元整（¥5000.00）；</w:t>
      </w:r>
      <w:r>
        <w:rPr>
          <w:rFonts w:hint="eastAsia" w:ascii="Times New Roman" w:hAnsi="Times New Roman" w:eastAsia="仿宋_GB2312" w:cs="仿宋"/>
          <w:color w:val="000000"/>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lang w:val="en-US" w:eastAsia="zh-CN"/>
        </w:rPr>
        <w:t>2.</w:t>
      </w:r>
      <w:r>
        <w:rPr>
          <w:rFonts w:hint="eastAsia" w:ascii="Times New Roman" w:hAnsi="Times New Roman" w:eastAsia="仿宋_GB2312" w:cs="仿宋"/>
          <w:bCs/>
          <w:color w:val="000000"/>
          <w:sz w:val="32"/>
          <w:szCs w:val="32"/>
          <w:u w:val="single"/>
        </w:rPr>
        <w:t xml:space="preserve"> 没收违法所得人民币壹仟叁佰伍拾元整（¥1350.00）；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lang w:val="en-US" w:eastAsia="zh-CN"/>
        </w:rPr>
        <w:t>3.</w:t>
      </w:r>
      <w:r>
        <w:rPr>
          <w:rFonts w:hint="eastAsia" w:ascii="Times New Roman" w:hAnsi="Times New Roman" w:eastAsia="仿宋_GB2312" w:cs="仿宋"/>
          <w:bCs/>
          <w:color w:val="000000"/>
          <w:sz w:val="32"/>
          <w:szCs w:val="32"/>
          <w:u w:val="single"/>
        </w:rPr>
        <w:t xml:space="preserve"> 没收用于违法经营的食品添加剂：橙红6瓶（未使用、500g/瓶）、橙红1瓶（使用过）。</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 xml:space="preserve">当事人应当自收到本行政处罚决定书之日起十五日内，到惠州大亚湾的中国银行、建设银行、工商银行、农业银行、农村商业银行的其中一间银行缴纳罚没款，或者使用大亚湾区市场监督管理局的POS机刷卡缴纳罚没款。到期不缴纳罚款的，依据《中华人民共和国行政处罚法》第七十二条的规定，本局将每日按罚款数额的百分之三加处罚款，并依法申请人民法院强制执行。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 xml:space="preserve">如不服本行政处罚决定，可以在收到本行政处罚决定书之日起六十日内向惠州大亚湾经济技术开发区管理委员会申请行政复议；也可以在六个月内依法向博罗县人民法院提起行政诉讼。申请行政复议或者提起行政诉讼期间，行政处罚不停止执行。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ascii="Times New Roman" w:hAnsi="Times New Roman" w:eastAsia="仿宋_GB2312" w:cs="仿宋"/>
          <w:color w:val="000000"/>
          <w:sz w:val="32"/>
          <w:szCs w:val="32"/>
          <w:u w:val="none"/>
        </w:rPr>
      </w:pPr>
      <w:r>
        <w:rPr>
          <w:rFonts w:hint="eastAsia" w:ascii="Times New Roman" w:hAnsi="Times New Roman" w:eastAsia="仿宋_GB2312" w:cs="仿宋"/>
          <w:color w:val="000000"/>
          <w:sz w:val="32"/>
          <w:szCs w:val="32"/>
          <w:u w:val="none"/>
        </w:rPr>
        <w:t xml:space="preserve">             惠州大亚湾经济技术开发区市场监督管理局</w:t>
      </w:r>
    </w:p>
    <w:p>
      <w:pPr>
        <w:keepNext w:val="0"/>
        <w:keepLines w:val="0"/>
        <w:pageBreakBefore w:val="0"/>
        <w:widowControl w:val="0"/>
        <w:kinsoku/>
        <w:overflowPunct/>
        <w:topLinePunct w:val="0"/>
        <w:autoSpaceDE/>
        <w:autoSpaceDN/>
        <w:bidi w:val="0"/>
        <w:adjustRightInd/>
        <w:spacing w:line="560" w:lineRule="exact"/>
        <w:ind w:right="640" w:firstLine="601"/>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lang w:val="en-US" w:eastAsia="zh-CN"/>
        </w:rPr>
        <w:t>2021</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8</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6</w:t>
      </w:r>
      <w:r>
        <w:rPr>
          <w:rFonts w:hint="eastAsia" w:ascii="Times New Roman" w:hAnsi="Times New Roman" w:eastAsia="仿宋_GB2312" w:cs="仿宋"/>
          <w:color w:val="000000"/>
          <w:sz w:val="32"/>
          <w:szCs w:val="32"/>
        </w:rPr>
        <w:t>日</w:t>
      </w:r>
    </w:p>
    <w:p>
      <w:pPr>
        <w:keepNext w:val="0"/>
        <w:keepLines w:val="0"/>
        <w:pageBreakBefore w:val="0"/>
        <w:widowControl w:val="0"/>
        <w:kinsoku/>
        <w:overflowPunct/>
        <w:topLinePunct w:val="0"/>
        <w:autoSpaceDE/>
        <w:autoSpaceDN/>
        <w:bidi w:val="0"/>
        <w:adjustRightInd/>
        <w:spacing w:line="5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黑体" w:hAnsi="黑体" w:eastAsia="黑体" w:cs="黑体"/>
          <w:b w:val="0"/>
          <w:bCs w:val="0"/>
          <w:color w:val="000000"/>
          <w:sz w:val="28"/>
          <w:szCs w:val="28"/>
        </w:rPr>
      </w:pPr>
      <w:r>
        <w:rPr>
          <w:rFonts w:hint="eastAsia" w:ascii="黑体" w:hAnsi="黑体" w:eastAsia="黑体" w:cs="黑体"/>
          <w:b w:val="0"/>
          <w:bCs w:val="0"/>
          <w:color w:val="000000"/>
          <w:sz w:val="30"/>
          <w:szCs w:val="30"/>
        </w:rPr>
        <w:t>（市场监督管理部门将依法向社会公开行政处罚决定信息）</w:t>
      </w:r>
    </w:p>
    <w:p>
      <w:pPr>
        <w:keepNext w:val="0"/>
        <w:keepLines w:val="0"/>
        <w:pageBreakBefore w:val="0"/>
        <w:widowControl w:val="0"/>
        <w:kinsoku/>
        <w:wordWrap w:val="0"/>
        <w:overflowPunct/>
        <w:topLinePunct w:val="0"/>
        <w:autoSpaceDE/>
        <w:autoSpaceDN/>
        <w:bidi w:val="0"/>
        <w:adjustRightInd/>
        <w:spacing w:line="560" w:lineRule="exact"/>
        <w:jc w:val="center"/>
        <w:textAlignment w:val="auto"/>
        <w:rPr>
          <w:u w:val="none"/>
        </w:rPr>
      </w:pPr>
      <w:r>
        <w:rPr>
          <w:rFonts w:hint="eastAsia" w:ascii="Times New Roman" w:hAnsi="Times New Roman" w:eastAsia="仿宋_GB2312"/>
          <w:sz w:val="32"/>
        </w:rPr>
        <mc:AlternateContent>
          <mc:Choice Requires="wps">
            <w:drawing>
              <wp:anchor distT="0" distB="0" distL="114300" distR="114300" simplePos="0" relativeHeight="251819008" behindDoc="0" locked="0" layoutInCell="1" allowOverlap="1">
                <wp:simplePos x="0" y="0"/>
                <wp:positionH relativeFrom="column">
                  <wp:posOffset>-13970</wp:posOffset>
                </wp:positionH>
                <wp:positionV relativeFrom="paragraph">
                  <wp:posOffset>26035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pt;margin-top:2.05pt;height:0.05pt;width:437.05pt;z-index:251819008;mso-width-relative:page;mso-height-relative:page;" filled="f" stroked="t" coordsize="21600,21600" o:gfxdata="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4cf3VAAAABgEAAA8AAAAAAAAAAQAgAAAAIgAA&#10;AGRycy9kb3ducmV2LnhtbFBLAQIUABQAAAAIAIdO4kApN0ev0gEAAI8DAAAOAAAAAAAAAAEAIAAA&#10;ACQBAABkcnMvZTJvRG9jLnhtbFBLBQYAAAAABgAGAFkBAABoBQAAAAA=&#10;">
                <v:fill on="f" focussize="0,0"/>
                <v:stroke weight="1.25pt" color="#000000" joinstyle="round"/>
                <v:imagedata o:title=""/>
                <o:lock v:ext="edit" aspectratio="f"/>
              </v:line>
            </w:pict>
          </mc:Fallback>
        </mc:AlternateContent>
      </w:r>
      <w:r>
        <w:rPr>
          <w:rFonts w:hint="eastAsia" w:ascii="Times New Roman" w:hAnsi="Times New Roman" w:eastAsia="仿宋_GB2312" w:cs="仿宋"/>
          <w:color w:val="000000"/>
          <w:sz w:val="32"/>
          <w:szCs w:val="32"/>
          <w:u w:val="none"/>
        </w:rPr>
        <w:t>本文书一式</w:t>
      </w:r>
      <w:r>
        <w:rPr>
          <w:rFonts w:hint="eastAsia" w:ascii="Times New Roman" w:hAnsi="Times New Roman" w:eastAsia="仿宋_GB2312" w:cs="仿宋"/>
          <w:color w:val="000000"/>
          <w:sz w:val="32"/>
          <w:szCs w:val="32"/>
          <w:u w:val="none"/>
          <w:lang w:val="en-US" w:eastAsia="zh-CN"/>
        </w:rPr>
        <w:t>两</w:t>
      </w:r>
      <w:r>
        <w:rPr>
          <w:rFonts w:hint="eastAsia" w:ascii="Times New Roman" w:hAnsi="Times New Roman" w:eastAsia="仿宋_GB2312" w:cs="仿宋"/>
          <w:color w:val="000000"/>
          <w:sz w:val="32"/>
          <w:szCs w:val="32"/>
          <w:u w:val="none"/>
        </w:rPr>
        <w:t>份，</w:t>
      </w:r>
      <w:r>
        <w:rPr>
          <w:rFonts w:hint="eastAsia" w:ascii="Times New Roman" w:hAnsi="Times New Roman" w:eastAsia="仿宋_GB2312" w:cs="仿宋"/>
          <w:color w:val="000000"/>
          <w:sz w:val="32"/>
          <w:szCs w:val="32"/>
          <w:u w:val="none"/>
          <w:lang w:val="en-US" w:eastAsia="zh-CN"/>
        </w:rPr>
        <w:t>一</w:t>
      </w:r>
      <w:r>
        <w:rPr>
          <w:rFonts w:hint="eastAsia" w:ascii="Times New Roman" w:hAnsi="Times New Roman" w:eastAsia="仿宋_GB2312" w:cs="仿宋"/>
          <w:color w:val="000000"/>
          <w:sz w:val="32"/>
          <w:szCs w:val="32"/>
          <w:u w:val="none"/>
        </w:rPr>
        <w:t>份送达，一份归档</w:t>
      </w:r>
      <w:r>
        <w:rPr>
          <w:rFonts w:hint="eastAsia" w:ascii="Times New Roman" w:hAnsi="Times New Roman" w:eastAsia="仿宋" w:cs="仿宋"/>
          <w:color w:val="000000"/>
          <w:sz w:val="32"/>
          <w:szCs w:val="32"/>
          <w:u w:val="none"/>
        </w:rPr>
        <w:t>。</w:t>
      </w:r>
    </w:p>
    <w:sectPr>
      <w:footerReference r:id="rId3" w:type="default"/>
      <w:pgSz w:w="11906" w:h="16838"/>
      <w:pgMar w:top="1440" w:right="1559" w:bottom="1440"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605F14"/>
    <w:rsid w:val="041919CC"/>
    <w:rsid w:val="0AB8293D"/>
    <w:rsid w:val="0AF00C98"/>
    <w:rsid w:val="0B581F25"/>
    <w:rsid w:val="0E4878D1"/>
    <w:rsid w:val="0F0C4DEC"/>
    <w:rsid w:val="1808682F"/>
    <w:rsid w:val="1BA300A3"/>
    <w:rsid w:val="277B6956"/>
    <w:rsid w:val="33F956AE"/>
    <w:rsid w:val="35BA74B5"/>
    <w:rsid w:val="38912164"/>
    <w:rsid w:val="39EF22F8"/>
    <w:rsid w:val="3C5C07C7"/>
    <w:rsid w:val="440B0B3A"/>
    <w:rsid w:val="4E345BE0"/>
    <w:rsid w:val="528F6ABE"/>
    <w:rsid w:val="60902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2021-07-30T09:05:00Z</cp:lastPrinted>
  <dcterms:modified xsi:type="dcterms:W3CDTF">2021-08-26T08:17:38Z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