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w:t>
      </w:r>
    </w:p>
    <w:p>
      <w:pPr>
        <w:spacing w:line="560" w:lineRule="exact"/>
        <w:jc w:val="left"/>
        <w:rPr>
          <w:rFonts w:hint="eastAsia" w:ascii="仿宋_GB2312" w:hAnsi="仿宋_GB2312" w:eastAsia="仿宋_GB2312" w:cs="仿宋_GB2312"/>
          <w:color w:val="auto"/>
          <w:sz w:val="44"/>
          <w:szCs w:val="44"/>
          <w:lang w:val="en-US" w:eastAsia="zh-CN"/>
        </w:rPr>
      </w:pPr>
    </w:p>
    <w:p>
      <w:pPr>
        <w:spacing w:line="560" w:lineRule="exact"/>
        <w:jc w:val="center"/>
        <w:rPr>
          <w:rFonts w:hint="eastAsia" w:ascii="方正小标宋简体" w:eastAsia="方正小标宋简体"/>
          <w:color w:val="auto"/>
          <w:sz w:val="44"/>
          <w:szCs w:val="44"/>
        </w:rPr>
      </w:pPr>
      <w:r>
        <w:rPr>
          <w:rFonts w:hint="eastAsia" w:ascii="方正小标宋简体" w:eastAsia="方正小标宋简体"/>
          <w:color w:val="auto"/>
          <w:sz w:val="44"/>
          <w:szCs w:val="44"/>
        </w:rPr>
        <w:t>霞涌山子头和石井澳村集体土地征收涉及的</w:t>
      </w:r>
      <w:r>
        <w:rPr>
          <w:rFonts w:hint="eastAsia" w:ascii="方正小标宋简体" w:eastAsia="方正小标宋简体"/>
          <w:color w:val="auto"/>
          <w:sz w:val="44"/>
          <w:szCs w:val="44"/>
          <w:lang w:val="en-US" w:eastAsia="zh-CN"/>
        </w:rPr>
        <w:t>整村</w:t>
      </w:r>
      <w:r>
        <w:rPr>
          <w:rFonts w:hint="eastAsia" w:ascii="方正小标宋简体" w:eastAsia="方正小标宋简体"/>
          <w:color w:val="auto"/>
          <w:sz w:val="44"/>
          <w:szCs w:val="44"/>
        </w:rPr>
        <w:t>搬迁补偿安置方案</w:t>
      </w:r>
    </w:p>
    <w:p>
      <w:pPr>
        <w:spacing w:line="560" w:lineRule="exact"/>
        <w:jc w:val="center"/>
        <w:rPr>
          <w:rFonts w:hint="eastAsia" w:ascii="黑体" w:hAnsi="黑体" w:eastAsia="黑体" w:cs="黑体"/>
          <w:b/>
          <w:color w:val="auto"/>
          <w:sz w:val="36"/>
          <w:szCs w:val="36"/>
        </w:rPr>
      </w:pPr>
      <w:r>
        <w:rPr>
          <w:rFonts w:hint="eastAsia" w:ascii="黑体" w:hAnsi="黑体" w:eastAsia="黑体" w:cs="黑体"/>
          <w:color w:val="auto"/>
          <w:sz w:val="30"/>
          <w:szCs w:val="30"/>
        </w:rPr>
        <w:t>（</w:t>
      </w:r>
      <w:r>
        <w:rPr>
          <w:rFonts w:hint="eastAsia" w:ascii="黑体" w:hAnsi="黑体" w:eastAsia="黑体" w:cs="黑体"/>
          <w:color w:val="auto"/>
          <w:sz w:val="30"/>
          <w:szCs w:val="30"/>
          <w:lang w:val="en-US" w:eastAsia="zh-CN"/>
        </w:rPr>
        <w:t>公示稿</w:t>
      </w:r>
      <w:r>
        <w:rPr>
          <w:rFonts w:hint="eastAsia" w:ascii="黑体" w:hAnsi="黑体" w:eastAsia="黑体" w:cs="黑体"/>
          <w:color w:val="auto"/>
          <w:sz w:val="30"/>
          <w:szCs w:val="30"/>
        </w:rPr>
        <w:t>）</w:t>
      </w:r>
    </w:p>
    <w:p>
      <w:pPr>
        <w:spacing w:line="560" w:lineRule="exact"/>
        <w:jc w:val="center"/>
        <w:rPr>
          <w:rFonts w:ascii="黑体" w:eastAsia="黑体"/>
          <w:color w:val="auto"/>
          <w:sz w:val="36"/>
          <w:szCs w:val="36"/>
        </w:rPr>
      </w:pPr>
    </w:p>
    <w:p>
      <w:pPr>
        <w:spacing w:line="560" w:lineRule="exact"/>
        <w:jc w:val="center"/>
        <w:rPr>
          <w:rFonts w:ascii="黑体" w:eastAsia="黑体"/>
          <w:color w:val="auto"/>
          <w:sz w:val="36"/>
          <w:szCs w:val="36"/>
        </w:rPr>
      </w:pPr>
      <w:r>
        <w:rPr>
          <w:rFonts w:hint="eastAsia" w:ascii="黑体" w:eastAsia="黑体"/>
          <w:color w:val="auto"/>
          <w:sz w:val="36"/>
          <w:szCs w:val="36"/>
        </w:rPr>
        <w:t>第一章  总则</w:t>
      </w:r>
    </w:p>
    <w:p>
      <w:pPr>
        <w:spacing w:line="560" w:lineRule="exact"/>
        <w:jc w:val="center"/>
        <w:rPr>
          <w:rFonts w:ascii="黑体" w:eastAsia="黑体"/>
          <w:color w:val="auto"/>
          <w:sz w:val="36"/>
          <w:szCs w:val="36"/>
        </w:rPr>
      </w:pPr>
    </w:p>
    <w:p>
      <w:pPr>
        <w:spacing w:line="560" w:lineRule="exact"/>
        <w:ind w:firstLine="632" w:firstLineChars="200"/>
        <w:rPr>
          <w:rFonts w:hint="eastAsia" w:ascii="仿宋_GB2312" w:eastAsia="仿宋_GB2312"/>
          <w:color w:val="auto"/>
          <w:sz w:val="32"/>
          <w:szCs w:val="32"/>
        </w:rPr>
      </w:pPr>
      <w:r>
        <w:rPr>
          <w:rFonts w:hint="eastAsia" w:ascii="黑体" w:hAnsi="黑体" w:eastAsia="黑体" w:cs="黑体"/>
          <w:color w:val="auto"/>
          <w:sz w:val="32"/>
          <w:szCs w:val="32"/>
          <w:u w:val="none"/>
          <w:lang w:val="en-US" w:eastAsia="zh-CN"/>
        </w:rPr>
        <w:t xml:space="preserve">第一条  </w:t>
      </w:r>
      <w:r>
        <w:rPr>
          <w:rFonts w:hint="eastAsia" w:ascii="仿宋_GB2312" w:eastAsia="仿宋_GB2312"/>
          <w:color w:val="auto"/>
          <w:sz w:val="32"/>
          <w:szCs w:val="32"/>
        </w:rPr>
        <w:t>为尽快推进大亚湾石化拓展区建设，保护被征收人的合法权益，妥善做好搬迁补偿安置工作，根据《中华人民共和国土地管理法》《中华人民共和国城乡规划法》《中华人民共和国民法典》《中华人民共和国土地管理法实施条例》,</w:t>
      </w:r>
      <w:r>
        <w:rPr>
          <w:rFonts w:hint="eastAsia" w:ascii="仿宋_GB2312" w:eastAsia="仿宋_GB2312"/>
          <w:color w:val="auto"/>
          <w:sz w:val="32"/>
          <w:szCs w:val="32"/>
          <w:lang w:val="en-US" w:eastAsia="zh-CN"/>
        </w:rPr>
        <w:t>参照</w:t>
      </w:r>
      <w:r>
        <w:rPr>
          <w:rFonts w:hint="eastAsia" w:ascii="仿宋_GB2312" w:eastAsia="仿宋_GB2312"/>
          <w:color w:val="auto"/>
          <w:sz w:val="32"/>
          <w:szCs w:val="32"/>
        </w:rPr>
        <w:t>《惠州市集体土地征收与补偿办法》（惠府〔2021〕27号）等有关法律、法规和政策的规定，结合大亚湾区和本搬迁项目的实际情况，制定本方案。</w:t>
      </w:r>
    </w:p>
    <w:p>
      <w:pPr>
        <w:numPr>
          <w:ilvl w:val="0"/>
          <w:numId w:val="0"/>
        </w:numPr>
        <w:spacing w:line="560" w:lineRule="exact"/>
        <w:ind w:firstLine="632" w:firstLineChars="200"/>
        <w:rPr>
          <w:rFonts w:ascii="仿宋_GB2312" w:eastAsia="仿宋_GB2312"/>
          <w:color w:val="auto"/>
          <w:sz w:val="32"/>
          <w:szCs w:val="32"/>
        </w:rPr>
      </w:pPr>
      <w:r>
        <w:rPr>
          <w:rFonts w:hint="eastAsia" w:ascii="黑体" w:hAnsi="黑体" w:eastAsia="黑体" w:cs="黑体"/>
          <w:color w:val="auto"/>
          <w:sz w:val="32"/>
          <w:szCs w:val="32"/>
          <w:lang w:val="en-US" w:eastAsia="zh-CN"/>
        </w:rPr>
        <w:t xml:space="preserve">第二条  </w:t>
      </w:r>
      <w:r>
        <w:rPr>
          <w:rFonts w:hint="eastAsia" w:ascii="仿宋_GB2312" w:eastAsia="仿宋_GB2312"/>
          <w:color w:val="auto"/>
          <w:sz w:val="32"/>
          <w:szCs w:val="32"/>
        </w:rPr>
        <w:t>在大亚湾石化拓展区所在的霞涌村委会山子头、石井澳村庄范围内实施集体土地征收涉及的村民住宅、村民住宅以外的房屋搬迁补偿（以下简称山子头、石井澳村庄整体搬迁），需要对被征收人补偿和安置的，适用本方案。</w:t>
      </w:r>
    </w:p>
    <w:p>
      <w:pPr>
        <w:spacing w:line="560" w:lineRule="exact"/>
        <w:ind w:firstLine="632" w:firstLineChars="200"/>
        <w:rPr>
          <w:rFonts w:hint="eastAsia" w:ascii="仿宋_GB2312" w:hAnsi="仿宋_GB2312" w:eastAsia="仿宋_GB2312" w:cs="仿宋_GB2312"/>
          <w:color w:val="auto"/>
          <w:sz w:val="32"/>
          <w:szCs w:val="32"/>
          <w:u w:val="single"/>
          <w:lang w:val="en-US"/>
        </w:rPr>
      </w:pPr>
      <w:r>
        <w:rPr>
          <w:rFonts w:hint="eastAsia" w:ascii="黑体" w:eastAsia="黑体"/>
          <w:color w:val="auto"/>
          <w:sz w:val="32"/>
          <w:szCs w:val="32"/>
        </w:rPr>
        <w:t>第三条</w:t>
      </w:r>
      <w:r>
        <w:rPr>
          <w:rFonts w:hint="eastAsia" w:ascii="仿宋_GB2312" w:eastAsia="仿宋_GB2312"/>
          <w:color w:val="auto"/>
          <w:sz w:val="32"/>
          <w:szCs w:val="32"/>
        </w:rPr>
        <w:t xml:space="preserve">  本方案的征收人是指惠州大亚湾经济技术开发区管理委员会（以下简称区管委会）。区管委会确定惠州大亚湾经济技术开发区管理委员会动迁办公室（以下简称区动迁办）为本次房屋搬迁补偿的实施主体</w:t>
      </w:r>
      <w:r>
        <w:rPr>
          <w:rFonts w:hint="eastAsia" w:ascii="仿宋_GB2312" w:eastAsia="仿宋_GB2312"/>
          <w:color w:val="auto"/>
          <w:sz w:val="32"/>
          <w:szCs w:val="32"/>
          <w:lang w:eastAsia="zh-CN"/>
        </w:rPr>
        <w:t>，</w:t>
      </w:r>
      <w:r>
        <w:rPr>
          <w:rFonts w:hint="eastAsia" w:ascii="仿宋_GB2312" w:eastAsia="仿宋_GB2312"/>
          <w:color w:val="auto"/>
          <w:sz w:val="32"/>
          <w:szCs w:val="32"/>
        </w:rPr>
        <w:t>霞涌街道办为本次整体搬迁</w:t>
      </w:r>
      <w:r>
        <w:rPr>
          <w:rFonts w:hint="eastAsia" w:ascii="仿宋_GB2312" w:eastAsia="仿宋_GB2312"/>
          <w:color w:val="auto"/>
          <w:sz w:val="32"/>
          <w:szCs w:val="32"/>
          <w:lang w:val="en-US" w:eastAsia="zh-CN"/>
        </w:rPr>
        <w:t>补偿安置</w:t>
      </w:r>
      <w:r>
        <w:rPr>
          <w:rFonts w:hint="eastAsia" w:ascii="仿宋_GB2312" w:eastAsia="仿宋_GB2312"/>
          <w:color w:val="auto"/>
          <w:sz w:val="32"/>
          <w:szCs w:val="32"/>
        </w:rPr>
        <w:t>的具体实施单位。</w:t>
      </w:r>
    </w:p>
    <w:p>
      <w:pPr>
        <w:numPr>
          <w:ilvl w:val="0"/>
          <w:numId w:val="0"/>
        </w:numPr>
        <w:spacing w:line="560" w:lineRule="exact"/>
        <w:ind w:firstLine="632" w:firstLineChars="200"/>
        <w:rPr>
          <w:rFonts w:hint="eastAsia" w:ascii="仿宋_GB2312" w:eastAsia="仿宋_GB2312"/>
          <w:color w:val="auto"/>
          <w:sz w:val="32"/>
          <w:szCs w:val="32"/>
        </w:rPr>
      </w:pPr>
      <w:r>
        <w:rPr>
          <w:rFonts w:hint="eastAsia" w:ascii="黑体" w:hAnsi="黑体" w:eastAsia="黑体" w:cs="黑体"/>
          <w:color w:val="auto"/>
          <w:sz w:val="32"/>
          <w:szCs w:val="32"/>
          <w:lang w:val="en-US" w:eastAsia="zh-CN"/>
        </w:rPr>
        <w:t xml:space="preserve">第四条  </w:t>
      </w:r>
      <w:r>
        <w:rPr>
          <w:rFonts w:hint="eastAsia" w:ascii="仿宋_GB2312" w:eastAsia="仿宋_GB2312"/>
          <w:color w:val="auto"/>
          <w:sz w:val="32"/>
          <w:szCs w:val="32"/>
        </w:rPr>
        <w:t>被征收人是指在山子头、石井澳村庄整体搬迁范围内拥有房屋的所有权人。</w:t>
      </w:r>
    </w:p>
    <w:p>
      <w:pPr>
        <w:numPr>
          <w:ilvl w:val="0"/>
          <w:numId w:val="0"/>
        </w:numPr>
        <w:spacing w:line="560" w:lineRule="exact"/>
        <w:ind w:firstLine="632" w:firstLineChars="200"/>
        <w:rPr>
          <w:rFonts w:hint="eastAsia" w:ascii="仿宋_GB2312" w:eastAsia="仿宋_GB2312"/>
          <w:color w:val="auto"/>
          <w:sz w:val="32"/>
          <w:szCs w:val="32"/>
        </w:rPr>
      </w:pPr>
    </w:p>
    <w:p>
      <w:pPr>
        <w:numPr>
          <w:ilvl w:val="0"/>
          <w:numId w:val="0"/>
        </w:numPr>
        <w:spacing w:line="560" w:lineRule="exact"/>
        <w:ind w:firstLine="1424" w:firstLineChars="400"/>
        <w:rPr>
          <w:rFonts w:hint="eastAsia" w:ascii="黑体" w:eastAsia="黑体"/>
          <w:color w:val="auto"/>
          <w:sz w:val="36"/>
          <w:szCs w:val="36"/>
          <w:lang w:val="en-US" w:eastAsia="zh-CN"/>
        </w:rPr>
      </w:pPr>
      <w:r>
        <w:rPr>
          <w:rFonts w:hint="eastAsia" w:ascii="黑体" w:eastAsia="黑体"/>
          <w:color w:val="auto"/>
          <w:sz w:val="36"/>
          <w:szCs w:val="36"/>
          <w:lang w:val="en-US" w:eastAsia="zh-CN"/>
        </w:rPr>
        <w:t>第二章  村民住宅及安置对象</w:t>
      </w:r>
    </w:p>
    <w:p>
      <w:pPr>
        <w:numPr>
          <w:ilvl w:val="0"/>
          <w:numId w:val="0"/>
        </w:numPr>
        <w:spacing w:line="560" w:lineRule="exact"/>
        <w:ind w:firstLine="632" w:firstLineChars="200"/>
        <w:rPr>
          <w:rFonts w:hint="eastAsia" w:ascii="黑体" w:hAnsi="黑体" w:eastAsia="黑体" w:cs="黑体"/>
          <w:color w:val="auto"/>
          <w:sz w:val="32"/>
          <w:szCs w:val="32"/>
          <w:lang w:val="en-US" w:eastAsia="zh-CN"/>
        </w:rPr>
      </w:pPr>
    </w:p>
    <w:p>
      <w:pPr>
        <w:numPr>
          <w:ilvl w:val="0"/>
          <w:numId w:val="0"/>
        </w:numPr>
        <w:spacing w:line="560" w:lineRule="exact"/>
        <w:ind w:firstLine="632" w:firstLineChars="200"/>
        <w:rPr>
          <w:rFonts w:ascii="仿宋_GB2312" w:eastAsia="仿宋_GB2312"/>
          <w:color w:val="auto"/>
          <w:sz w:val="32"/>
          <w:szCs w:val="32"/>
        </w:rPr>
      </w:pPr>
      <w:r>
        <w:rPr>
          <w:rFonts w:hint="eastAsia" w:ascii="黑体" w:hAnsi="黑体" w:eastAsia="黑体" w:cs="黑体"/>
          <w:color w:val="auto"/>
          <w:sz w:val="32"/>
          <w:szCs w:val="32"/>
          <w:lang w:val="en-US" w:eastAsia="zh-CN"/>
        </w:rPr>
        <w:t xml:space="preserve">第五条  </w:t>
      </w:r>
      <w:r>
        <w:rPr>
          <w:rFonts w:hint="eastAsia" w:ascii="仿宋_GB2312" w:eastAsia="仿宋_GB2312"/>
          <w:color w:val="auto"/>
          <w:sz w:val="32"/>
          <w:szCs w:val="32"/>
        </w:rPr>
        <w:t>本方案所称村民住宅，包括下列房屋：</w:t>
      </w:r>
    </w:p>
    <w:p>
      <w:pPr>
        <w:spacing w:line="560" w:lineRule="exact"/>
        <w:ind w:firstLine="632" w:firstLineChars="200"/>
        <w:rPr>
          <w:rFonts w:ascii="仿宋_GB2312" w:eastAsia="仿宋_GB2312"/>
          <w:color w:val="auto"/>
          <w:sz w:val="32"/>
          <w:szCs w:val="32"/>
        </w:rPr>
      </w:pPr>
      <w:r>
        <w:rPr>
          <w:rFonts w:hint="eastAsia" w:ascii="仿宋_GB2312" w:eastAsia="仿宋_GB2312"/>
          <w:color w:val="auto"/>
          <w:sz w:val="32"/>
          <w:szCs w:val="32"/>
          <w:lang w:val="en-US" w:eastAsia="zh-CN"/>
        </w:rPr>
        <w:t>1.</w:t>
      </w:r>
      <w:r>
        <w:rPr>
          <w:rFonts w:hint="eastAsia" w:ascii="仿宋_GB2312" w:eastAsia="仿宋_GB2312"/>
          <w:color w:val="auto"/>
          <w:sz w:val="32"/>
          <w:szCs w:val="32"/>
        </w:rPr>
        <w:t>《惠州大亚湾经济技术开发区管理委员会关于霞涌山子头和石井澳村庄整体搬迁的通告》</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以下简称《通告》</w:t>
      </w:r>
      <w:r>
        <w:rPr>
          <w:rFonts w:hint="eastAsia" w:ascii="仿宋_GB2312" w:eastAsia="仿宋_GB2312"/>
          <w:color w:val="auto"/>
          <w:sz w:val="32"/>
          <w:szCs w:val="32"/>
          <w:lang w:eastAsia="zh-CN"/>
        </w:rPr>
        <w:t>）</w:t>
      </w:r>
      <w:r>
        <w:rPr>
          <w:rFonts w:hint="eastAsia" w:ascii="仿宋_GB2312" w:eastAsia="仿宋_GB2312"/>
          <w:color w:val="auto"/>
          <w:sz w:val="32"/>
          <w:szCs w:val="32"/>
        </w:rPr>
        <w:t>发布前户籍在被征收土地所在的村或村小组、具有宅基地资格权的集体经济组织成员的合法住宅；</w:t>
      </w:r>
    </w:p>
    <w:p>
      <w:pPr>
        <w:spacing w:line="560" w:lineRule="exact"/>
        <w:ind w:firstLine="645"/>
        <w:rPr>
          <w:rFonts w:ascii="仿宋_GB2312" w:eastAsia="仿宋_GB2312"/>
          <w:color w:val="auto"/>
          <w:sz w:val="32"/>
          <w:szCs w:val="32"/>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rPr>
        <w:t>村民或非村民合法继承的位于被征收土地所在的村或村小组的祖屋；</w:t>
      </w:r>
    </w:p>
    <w:p>
      <w:pPr>
        <w:spacing w:line="560" w:lineRule="exact"/>
        <w:ind w:firstLine="645"/>
        <w:rPr>
          <w:rFonts w:ascii="仿宋_GB2312" w:eastAsia="仿宋_GB2312"/>
          <w:color w:val="auto"/>
          <w:sz w:val="32"/>
          <w:szCs w:val="32"/>
        </w:rPr>
      </w:pPr>
      <w:r>
        <w:rPr>
          <w:rFonts w:hint="eastAsia" w:ascii="仿宋_GB2312" w:eastAsia="仿宋_GB2312"/>
          <w:color w:val="auto"/>
          <w:sz w:val="32"/>
          <w:szCs w:val="32"/>
          <w:lang w:val="en-US" w:eastAsia="zh-CN"/>
        </w:rPr>
        <w:t>3.</w:t>
      </w:r>
      <w:r>
        <w:rPr>
          <w:rFonts w:hint="eastAsia" w:ascii="仿宋_GB2312" w:eastAsia="仿宋_GB2312"/>
          <w:color w:val="auto"/>
          <w:sz w:val="32"/>
          <w:szCs w:val="32"/>
        </w:rPr>
        <w:t>被征收土地所在的村或村小组的原村民，户口迁出本村之前建设的合法住宅；</w:t>
      </w:r>
    </w:p>
    <w:p>
      <w:pPr>
        <w:spacing w:line="560" w:lineRule="exact"/>
        <w:ind w:firstLine="645"/>
        <w:rPr>
          <w:rFonts w:ascii="仿宋_GB2312" w:eastAsia="仿宋_GB2312"/>
          <w:color w:val="auto"/>
          <w:sz w:val="32"/>
          <w:szCs w:val="32"/>
          <w:u w:val="none"/>
        </w:rPr>
      </w:pPr>
      <w:r>
        <w:rPr>
          <w:rFonts w:hint="eastAsia" w:ascii="仿宋_GB2312" w:eastAsia="仿宋_GB2312"/>
          <w:color w:val="auto"/>
          <w:sz w:val="32"/>
          <w:szCs w:val="32"/>
          <w:u w:val="none"/>
          <w:lang w:val="en-US" w:eastAsia="zh-CN"/>
        </w:rPr>
        <w:t>4.</w:t>
      </w:r>
      <w:r>
        <w:rPr>
          <w:rFonts w:hint="eastAsia" w:ascii="仿宋_GB2312" w:eastAsia="仿宋_GB2312"/>
          <w:color w:val="auto"/>
          <w:sz w:val="32"/>
          <w:szCs w:val="32"/>
          <w:u w:val="none"/>
        </w:rPr>
        <w:t>其它符合大亚湾区“房地一体”农村不动产确权登记政策的。</w:t>
      </w:r>
    </w:p>
    <w:p>
      <w:pPr>
        <w:spacing w:line="56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村民住宅应是有建筑基础，有完好的外墙和屋盖，层高（或檐高）在 2.2 米以上，已安装门、窗、水、电等设施设备，具备居住使用条件的永久性房屋，包括钢筋混凝土结构、混合结构、砖木结构等结构的房屋。</w:t>
      </w:r>
    </w:p>
    <w:p>
      <w:pPr>
        <w:shd w:val="solid" w:color="FFFFFF" w:fill="auto"/>
        <w:autoSpaceDN w:val="0"/>
        <w:spacing w:line="540" w:lineRule="exact"/>
        <w:ind w:firstLine="632" w:firstLineChars="200"/>
        <w:jc w:val="left"/>
        <w:rPr>
          <w:rFonts w:ascii="仿宋_GB2312" w:hAnsi="仿宋_GB2312" w:eastAsia="仿宋_GB2312"/>
          <w:color w:val="auto"/>
          <w:sz w:val="32"/>
          <w:shd w:val="clear" w:color="auto" w:fill="FFFFFF"/>
        </w:rPr>
      </w:pPr>
      <w:r>
        <w:rPr>
          <w:rFonts w:hint="eastAsia" w:ascii="黑体" w:hAnsi="黑体" w:eastAsia="黑体" w:cs="黑体"/>
          <w:color w:val="auto"/>
          <w:sz w:val="32"/>
          <w:szCs w:val="32"/>
          <w:lang w:val="en-US" w:eastAsia="zh-CN"/>
        </w:rPr>
        <w:t xml:space="preserve">第六条  </w:t>
      </w:r>
      <w:r>
        <w:rPr>
          <w:rFonts w:hint="eastAsia" w:ascii="仿宋_GB2312" w:eastAsia="仿宋_GB2312"/>
          <w:color w:val="auto"/>
          <w:sz w:val="32"/>
          <w:szCs w:val="32"/>
          <w:lang w:val="en-US" w:eastAsia="zh-CN"/>
        </w:rPr>
        <w:t>本方案所称</w:t>
      </w:r>
      <w:r>
        <w:rPr>
          <w:rFonts w:hint="eastAsia" w:ascii="仿宋_GB2312" w:eastAsia="仿宋_GB2312"/>
          <w:color w:val="auto"/>
          <w:sz w:val="32"/>
          <w:szCs w:val="32"/>
        </w:rPr>
        <w:t>安置对</w:t>
      </w:r>
      <w:r>
        <w:rPr>
          <w:rFonts w:hint="eastAsia" w:ascii="仿宋_GB2312" w:hAnsi="仿宋_GB2312" w:eastAsia="仿宋_GB2312"/>
          <w:color w:val="auto"/>
          <w:sz w:val="32"/>
          <w:shd w:val="clear" w:color="auto" w:fill="FFFFFF"/>
        </w:rPr>
        <w:t>象</w:t>
      </w:r>
      <w:r>
        <w:rPr>
          <w:rFonts w:hint="eastAsia" w:ascii="仿宋_GB2312" w:hAnsi="仿宋_GB2312" w:eastAsia="仿宋_GB2312"/>
          <w:color w:val="auto"/>
          <w:sz w:val="32"/>
          <w:shd w:val="clear" w:color="auto" w:fill="FFFFFF"/>
          <w:lang w:eastAsia="zh-CN"/>
        </w:rPr>
        <w:t>，</w:t>
      </w:r>
      <w:r>
        <w:rPr>
          <w:rFonts w:hint="eastAsia" w:ascii="仿宋_GB2312" w:hAnsi="仿宋_GB2312" w:eastAsia="仿宋_GB2312"/>
          <w:color w:val="auto"/>
          <w:sz w:val="32"/>
          <w:shd w:val="clear" w:color="auto" w:fill="FFFFFF"/>
        </w:rPr>
        <w:t>包括户籍在册户和原籍外出户。</w:t>
      </w:r>
    </w:p>
    <w:p>
      <w:pPr>
        <w:numPr>
          <w:ilvl w:val="0"/>
          <w:numId w:val="0"/>
        </w:numPr>
        <w:shd w:val="solid" w:color="FFFFFF" w:fill="auto"/>
        <w:autoSpaceDN w:val="0"/>
        <w:spacing w:line="540" w:lineRule="exact"/>
        <w:ind w:firstLine="632" w:firstLineChars="200"/>
        <w:jc w:val="left"/>
        <w:rPr>
          <w:rFonts w:hint="eastAsia" w:ascii="仿宋_GB2312" w:hAnsi="仿宋_GB2312" w:eastAsia="仿宋_GB2312"/>
          <w:color w:val="auto"/>
          <w:sz w:val="32"/>
          <w:shd w:val="clear" w:color="auto" w:fill="FFFFFF"/>
        </w:rPr>
      </w:pPr>
      <w:r>
        <w:rPr>
          <w:rFonts w:hint="eastAsia" w:ascii="楷体_GB2312" w:hAnsi="楷体_GB2312" w:eastAsia="楷体_GB2312" w:cs="楷体_GB2312"/>
          <w:color w:val="auto"/>
          <w:sz w:val="32"/>
          <w:shd w:val="clear" w:color="auto" w:fill="FFFFFF"/>
          <w:lang w:eastAsia="zh-CN"/>
        </w:rPr>
        <w:t>（</w:t>
      </w:r>
      <w:r>
        <w:rPr>
          <w:rFonts w:hint="eastAsia" w:ascii="楷体_GB2312" w:hAnsi="楷体_GB2312" w:eastAsia="楷体_GB2312" w:cs="楷体_GB2312"/>
          <w:color w:val="auto"/>
          <w:sz w:val="32"/>
          <w:shd w:val="clear" w:color="auto" w:fill="FFFFFF"/>
          <w:lang w:val="en-US" w:eastAsia="zh-CN"/>
        </w:rPr>
        <w:t>一</w:t>
      </w:r>
      <w:r>
        <w:rPr>
          <w:rFonts w:hint="eastAsia" w:ascii="楷体_GB2312" w:hAnsi="楷体_GB2312" w:eastAsia="楷体_GB2312" w:cs="楷体_GB2312"/>
          <w:color w:val="auto"/>
          <w:sz w:val="32"/>
          <w:shd w:val="clear" w:color="auto" w:fill="FFFFFF"/>
          <w:lang w:eastAsia="zh-CN"/>
        </w:rPr>
        <w:t>）</w:t>
      </w:r>
      <w:r>
        <w:rPr>
          <w:rFonts w:hint="eastAsia" w:ascii="楷体_GB2312" w:hAnsi="楷体_GB2312" w:eastAsia="楷体_GB2312" w:cs="楷体_GB2312"/>
          <w:color w:val="auto"/>
          <w:sz w:val="32"/>
          <w:shd w:val="clear" w:color="auto" w:fill="FFFFFF"/>
        </w:rPr>
        <w:t>户籍在册户：</w:t>
      </w:r>
      <w:r>
        <w:rPr>
          <w:rFonts w:hint="eastAsia" w:ascii="仿宋_GB2312" w:hAnsi="仿宋_GB2312" w:eastAsia="仿宋_GB2312"/>
          <w:color w:val="auto"/>
          <w:sz w:val="32"/>
          <w:shd w:val="clear" w:color="auto" w:fill="FFFFFF"/>
        </w:rPr>
        <w:t>是指在2021年1月25日前，户口在</w:t>
      </w:r>
      <w:r>
        <w:rPr>
          <w:rFonts w:hint="eastAsia" w:ascii="仿宋_GB2312" w:eastAsia="仿宋_GB2312"/>
          <w:color w:val="auto"/>
          <w:sz w:val="32"/>
          <w:szCs w:val="32"/>
        </w:rPr>
        <w:t>山子头、石井澳村庄整体搬迁</w:t>
      </w:r>
      <w:r>
        <w:rPr>
          <w:rFonts w:hint="eastAsia" w:ascii="仿宋_GB2312" w:hAnsi="仿宋_GB2312" w:eastAsia="仿宋_GB2312"/>
          <w:color w:val="auto"/>
          <w:sz w:val="32"/>
          <w:shd w:val="clear" w:color="auto" w:fill="FFFFFF"/>
        </w:rPr>
        <w:t>范围内，有合法房屋的家庭。</w:t>
      </w:r>
    </w:p>
    <w:p>
      <w:pPr>
        <w:shd w:val="solid" w:color="FFFFFF" w:fill="auto"/>
        <w:autoSpaceDN w:val="0"/>
        <w:spacing w:line="540" w:lineRule="exact"/>
        <w:ind w:firstLine="632" w:firstLineChars="200"/>
        <w:jc w:val="left"/>
        <w:rPr>
          <w:rFonts w:ascii="仿宋_GB2312" w:hAnsi="仿宋_GB2312" w:eastAsia="仿宋_GB2312"/>
          <w:color w:val="auto"/>
          <w:sz w:val="32"/>
          <w:shd w:val="clear" w:color="auto" w:fill="FFFFFF"/>
        </w:rPr>
      </w:pPr>
      <w:r>
        <w:rPr>
          <w:rFonts w:hint="eastAsia" w:ascii="仿宋_GB2312" w:hAnsi="仿宋_GB2312" w:eastAsia="仿宋_GB2312"/>
          <w:color w:val="auto"/>
          <w:sz w:val="32"/>
          <w:shd w:val="clear" w:color="auto" w:fill="FFFFFF"/>
        </w:rPr>
        <w:t>1.具体分户原则如下</w:t>
      </w:r>
      <w:r>
        <w:rPr>
          <w:rFonts w:ascii="仿宋_GB2312" w:hAnsi="仿宋_GB2312" w:eastAsia="仿宋_GB2312"/>
          <w:color w:val="auto"/>
          <w:sz w:val="32"/>
          <w:shd w:val="clear" w:color="auto" w:fill="FFFFFF"/>
        </w:rPr>
        <w:t>:</w:t>
      </w:r>
    </w:p>
    <w:p>
      <w:pPr>
        <w:shd w:val="solid" w:color="FFFFFF" w:fill="auto"/>
        <w:autoSpaceDN w:val="0"/>
        <w:spacing w:line="540" w:lineRule="exact"/>
        <w:ind w:firstLine="632" w:firstLineChars="200"/>
        <w:jc w:val="left"/>
        <w:rPr>
          <w:rFonts w:ascii="仿宋_GB2312" w:eastAsia="仿宋_GB2312"/>
          <w:color w:val="auto"/>
          <w:sz w:val="32"/>
          <w:szCs w:val="32"/>
        </w:rPr>
      </w:pPr>
      <w:r>
        <w:rPr>
          <w:rFonts w:hint="eastAsia" w:ascii="仿宋_GB2312" w:hAnsi="仿宋_GB2312" w:eastAsia="仿宋_GB2312"/>
          <w:color w:val="auto"/>
          <w:sz w:val="32"/>
          <w:shd w:val="clear" w:color="auto" w:fill="FFFFFF"/>
        </w:rPr>
        <w:t>（1）在</w:t>
      </w:r>
      <w:r>
        <w:rPr>
          <w:rFonts w:hint="eastAsia" w:ascii="仿宋_GB2312" w:eastAsia="仿宋_GB2312"/>
          <w:color w:val="auto"/>
          <w:sz w:val="32"/>
          <w:szCs w:val="32"/>
        </w:rPr>
        <w:t>房屋征收签约时限届满时，已婚夫妇及其未满18周岁子女为一户；</w:t>
      </w:r>
    </w:p>
    <w:p>
      <w:pPr>
        <w:shd w:val="solid" w:color="FFFFFF" w:fill="auto"/>
        <w:autoSpaceDN w:val="0"/>
        <w:spacing w:line="540" w:lineRule="exact"/>
        <w:ind w:firstLine="632" w:firstLineChars="200"/>
        <w:jc w:val="left"/>
        <w:rPr>
          <w:rFonts w:ascii="仿宋_GB2312" w:eastAsia="仿宋_GB2312"/>
          <w:color w:val="auto"/>
          <w:sz w:val="32"/>
          <w:szCs w:val="32"/>
        </w:rPr>
      </w:pPr>
      <w:r>
        <w:rPr>
          <w:rFonts w:hint="eastAsia" w:ascii="仿宋_GB2312" w:eastAsia="仿宋_GB2312"/>
          <w:color w:val="auto"/>
          <w:sz w:val="32"/>
          <w:szCs w:val="32"/>
        </w:rPr>
        <w:t>（2）在房屋征收签约时限届满时，已满18周岁的未婚村民为一户；</w:t>
      </w:r>
    </w:p>
    <w:p>
      <w:pPr>
        <w:shd w:val="solid" w:color="FFFFFF" w:fill="auto"/>
        <w:autoSpaceDN w:val="0"/>
        <w:spacing w:line="540" w:lineRule="exact"/>
        <w:ind w:firstLine="632" w:firstLineChars="200"/>
        <w:jc w:val="left"/>
        <w:rPr>
          <w:rFonts w:ascii="仿宋_GB2312" w:eastAsia="仿宋_GB2312"/>
          <w:color w:val="auto"/>
          <w:sz w:val="32"/>
          <w:szCs w:val="32"/>
        </w:rPr>
      </w:pPr>
      <w:r>
        <w:rPr>
          <w:rFonts w:hint="eastAsia" w:ascii="仿宋_GB2312" w:eastAsia="仿宋_GB2312"/>
          <w:color w:val="auto"/>
          <w:sz w:val="32"/>
          <w:szCs w:val="32"/>
        </w:rPr>
        <w:t>（3）在</w:t>
      </w:r>
      <w:r>
        <w:rPr>
          <w:rFonts w:hint="eastAsia" w:ascii="仿宋_GB2312" w:eastAsia="仿宋_GB2312"/>
          <w:color w:val="auto"/>
          <w:sz w:val="32"/>
          <w:szCs w:val="32"/>
          <w:lang w:val="en-US" w:eastAsia="zh-CN"/>
        </w:rPr>
        <w:t>《通告》</w:t>
      </w:r>
      <w:r>
        <w:rPr>
          <w:rFonts w:hint="eastAsia" w:ascii="仿宋_GB2312" w:eastAsia="仿宋_GB2312"/>
          <w:color w:val="auto"/>
          <w:sz w:val="32"/>
          <w:szCs w:val="32"/>
        </w:rPr>
        <w:t>发布前，已离异或丧偶后未再婚的为一户；《通告》发布后离异的，不再分户。</w:t>
      </w:r>
    </w:p>
    <w:p>
      <w:pPr>
        <w:shd w:val="solid" w:color="FFFFFF" w:fill="auto"/>
        <w:autoSpaceDN w:val="0"/>
        <w:spacing w:line="540" w:lineRule="exact"/>
        <w:ind w:firstLine="632" w:firstLineChars="200"/>
        <w:jc w:val="left"/>
        <w:rPr>
          <w:rFonts w:ascii="仿宋_GB2312" w:hAnsi="仿宋_GB2312" w:eastAsia="仿宋_GB2312"/>
          <w:color w:val="auto"/>
          <w:sz w:val="32"/>
          <w:shd w:val="clear" w:color="auto" w:fill="FFFFFF"/>
        </w:rPr>
      </w:pPr>
      <w:r>
        <w:rPr>
          <w:rFonts w:hint="eastAsia" w:ascii="仿宋_GB2312" w:hAnsi="仿宋_GB2312" w:eastAsia="仿宋_GB2312"/>
          <w:color w:val="auto"/>
          <w:sz w:val="32"/>
          <w:shd w:val="clear" w:color="auto" w:fill="FFFFFF"/>
        </w:rPr>
        <w:t>2.下</w:t>
      </w:r>
      <w:r>
        <w:rPr>
          <w:rFonts w:ascii="仿宋_GB2312" w:hAnsi="仿宋_GB2312" w:eastAsia="仿宋_GB2312"/>
          <w:color w:val="auto"/>
          <w:sz w:val="32"/>
          <w:shd w:val="clear" w:color="auto" w:fill="FFFFFF"/>
        </w:rPr>
        <w:t>列人员属于</w:t>
      </w:r>
      <w:r>
        <w:rPr>
          <w:rFonts w:hint="eastAsia" w:ascii="仿宋_GB2312" w:hAnsi="仿宋_GB2312" w:eastAsia="仿宋_GB2312"/>
          <w:color w:val="auto"/>
          <w:sz w:val="32"/>
          <w:shd w:val="clear" w:color="auto" w:fill="FFFFFF"/>
        </w:rPr>
        <w:t>房屋征收</w:t>
      </w:r>
      <w:r>
        <w:rPr>
          <w:rFonts w:ascii="仿宋_GB2312" w:hAnsi="仿宋_GB2312" w:eastAsia="仿宋_GB2312"/>
          <w:color w:val="auto"/>
          <w:sz w:val="32"/>
          <w:shd w:val="clear" w:color="auto" w:fill="FFFFFF"/>
        </w:rPr>
        <w:t>安置对象</w:t>
      </w:r>
      <w:r>
        <w:rPr>
          <w:rFonts w:hint="eastAsia" w:ascii="仿宋_GB2312" w:hAnsi="仿宋_GB2312" w:eastAsia="仿宋_GB2312"/>
          <w:color w:val="auto"/>
          <w:sz w:val="32"/>
          <w:shd w:val="clear" w:color="auto" w:fill="FFFFFF"/>
        </w:rPr>
        <w:t>：</w:t>
      </w:r>
    </w:p>
    <w:p>
      <w:pPr>
        <w:shd w:val="solid" w:color="FFFFFF" w:fill="auto"/>
        <w:autoSpaceDN w:val="0"/>
        <w:spacing w:line="540" w:lineRule="exact"/>
        <w:ind w:firstLine="632" w:firstLineChars="200"/>
        <w:jc w:val="left"/>
        <w:rPr>
          <w:rFonts w:ascii="仿宋_GB2312" w:hAnsi="仿宋_GB2312" w:eastAsia="仿宋_GB2312"/>
          <w:color w:val="auto"/>
          <w:sz w:val="32"/>
          <w:shd w:val="clear" w:color="auto" w:fill="FFFFFF"/>
        </w:rPr>
      </w:pPr>
      <w:r>
        <w:rPr>
          <w:rFonts w:hint="eastAsia" w:ascii="仿宋_GB2312" w:hAnsi="仿宋_GB2312" w:eastAsia="仿宋_GB2312"/>
          <w:color w:val="auto"/>
          <w:sz w:val="32"/>
          <w:shd w:val="clear" w:color="auto" w:fill="FFFFFF"/>
        </w:rPr>
        <w:t>（1）签约时限截止日前，户籍仍在房屋征收范围内，并在征收范围内拥有合法房屋的人员；</w:t>
      </w:r>
    </w:p>
    <w:p>
      <w:pPr>
        <w:shd w:val="solid" w:color="FFFFFF" w:fill="auto"/>
        <w:autoSpaceDN w:val="0"/>
        <w:spacing w:line="540" w:lineRule="exact"/>
        <w:ind w:firstLine="645"/>
        <w:jc w:val="left"/>
        <w:rPr>
          <w:rFonts w:ascii="仿宋_GB2312" w:hAnsi="仿宋_GB2312" w:eastAsia="仿宋_GB2312"/>
          <w:color w:val="auto"/>
          <w:sz w:val="30"/>
          <w:shd w:val="clear" w:color="auto" w:fill="FFFFFF"/>
        </w:rPr>
      </w:pPr>
      <w:r>
        <w:rPr>
          <w:rFonts w:hint="eastAsia" w:ascii="仿宋_GB2312" w:hAnsi="仿宋_GB2312" w:eastAsia="仿宋_GB2312"/>
          <w:color w:val="auto"/>
          <w:sz w:val="32"/>
          <w:shd w:val="clear" w:color="auto" w:fill="FFFFFF"/>
        </w:rPr>
        <w:t>（2）</w:t>
      </w:r>
      <w:r>
        <w:rPr>
          <w:rFonts w:ascii="仿宋_GB2312" w:hAnsi="仿宋_GB2312" w:eastAsia="仿宋_GB2312"/>
          <w:color w:val="auto"/>
          <w:sz w:val="32"/>
          <w:shd w:val="clear" w:color="auto" w:fill="FFFFFF"/>
        </w:rPr>
        <w:t>现役军人</w:t>
      </w:r>
      <w:r>
        <w:rPr>
          <w:rFonts w:hint="eastAsia" w:ascii="仿宋_GB2312" w:hAnsi="仿宋_GB2312" w:eastAsia="仿宋_GB2312"/>
          <w:color w:val="auto"/>
          <w:sz w:val="32"/>
          <w:shd w:val="clear" w:color="auto" w:fill="FFFFFF"/>
        </w:rPr>
        <w:t>、</w:t>
      </w:r>
      <w:r>
        <w:rPr>
          <w:rFonts w:ascii="仿宋_GB2312" w:hAnsi="仿宋_GB2312" w:eastAsia="仿宋_GB2312"/>
          <w:color w:val="auto"/>
          <w:sz w:val="32"/>
          <w:shd w:val="clear" w:color="auto" w:fill="FFFFFF"/>
        </w:rPr>
        <w:t>在校大中专院校学生或</w:t>
      </w:r>
      <w:r>
        <w:rPr>
          <w:rFonts w:hint="eastAsia" w:ascii="仿宋_GB2312" w:hAnsi="仿宋_GB2312" w:eastAsia="仿宋_GB2312"/>
          <w:color w:val="auto"/>
          <w:sz w:val="32"/>
          <w:shd w:val="clear" w:color="auto" w:fill="FFFFFF"/>
        </w:rPr>
        <w:t>正在</w:t>
      </w:r>
      <w:r>
        <w:rPr>
          <w:rFonts w:ascii="仿宋_GB2312" w:hAnsi="仿宋_GB2312" w:eastAsia="仿宋_GB2312"/>
          <w:color w:val="auto"/>
          <w:sz w:val="32"/>
          <w:shd w:val="clear" w:color="auto" w:fill="FFFFFF"/>
        </w:rPr>
        <w:t>服刑</w:t>
      </w:r>
      <w:r>
        <w:rPr>
          <w:rFonts w:hint="eastAsia" w:ascii="仿宋_GB2312" w:hAnsi="仿宋_GB2312" w:eastAsia="仿宋_GB2312"/>
          <w:color w:val="auto"/>
          <w:sz w:val="32"/>
          <w:shd w:val="clear" w:color="auto" w:fill="FFFFFF"/>
        </w:rPr>
        <w:t>的</w:t>
      </w:r>
      <w:r>
        <w:rPr>
          <w:rFonts w:ascii="仿宋_GB2312" w:hAnsi="仿宋_GB2312" w:eastAsia="仿宋_GB2312"/>
          <w:color w:val="auto"/>
          <w:sz w:val="32"/>
          <w:shd w:val="clear" w:color="auto" w:fill="FFFFFF"/>
        </w:rPr>
        <w:t>人员；</w:t>
      </w:r>
    </w:p>
    <w:p>
      <w:pPr>
        <w:shd w:val="solid" w:color="FFFFFF" w:fill="auto"/>
        <w:autoSpaceDN w:val="0"/>
        <w:spacing w:line="540" w:lineRule="exact"/>
        <w:ind w:firstLine="646"/>
        <w:jc w:val="left"/>
        <w:rPr>
          <w:rFonts w:ascii="仿宋_GB2312" w:hAnsi="仿宋_GB2312" w:eastAsia="仿宋_GB2312"/>
          <w:color w:val="auto"/>
          <w:sz w:val="32"/>
          <w:shd w:val="clear" w:color="auto" w:fill="FFFFFF"/>
        </w:rPr>
      </w:pPr>
      <w:r>
        <w:rPr>
          <w:rFonts w:hint="eastAsia" w:ascii="仿宋_GB2312" w:hAnsi="仿宋_GB2312" w:eastAsia="仿宋_GB2312"/>
          <w:color w:val="auto"/>
          <w:sz w:val="32"/>
          <w:shd w:val="clear" w:color="auto" w:fill="FFFFFF"/>
        </w:rPr>
        <w:t>（3）</w:t>
      </w:r>
      <w:r>
        <w:rPr>
          <w:rFonts w:ascii="仿宋_GB2312" w:hAnsi="仿宋_GB2312" w:eastAsia="仿宋_GB2312"/>
          <w:color w:val="auto"/>
          <w:sz w:val="32"/>
          <w:shd w:val="clear" w:color="auto" w:fill="FFFFFF"/>
        </w:rPr>
        <w:t>符合安置条件的家庭</w:t>
      </w:r>
      <w:r>
        <w:rPr>
          <w:rFonts w:ascii="仿宋_GB2312" w:hAnsi="仿宋_GB2312" w:eastAsia="仿宋_GB2312"/>
          <w:color w:val="auto"/>
          <w:sz w:val="32"/>
        </w:rPr>
        <w:t>成员中</w:t>
      </w:r>
      <w:r>
        <w:rPr>
          <w:rFonts w:ascii="仿宋_GB2312" w:hAnsi="仿宋_GB2312" w:eastAsia="仿宋_GB2312"/>
          <w:color w:val="auto"/>
          <w:sz w:val="32"/>
          <w:shd w:val="clear" w:color="auto" w:fill="FFFFFF"/>
        </w:rPr>
        <w:t>，在签约时限截止</w:t>
      </w:r>
      <w:r>
        <w:rPr>
          <w:rFonts w:hint="eastAsia" w:ascii="仿宋_GB2312" w:hAnsi="仿宋_GB2312" w:eastAsia="仿宋_GB2312"/>
          <w:color w:val="auto"/>
          <w:sz w:val="32"/>
          <w:shd w:val="clear" w:color="auto" w:fill="FFFFFF"/>
        </w:rPr>
        <w:t>日</w:t>
      </w:r>
      <w:r>
        <w:rPr>
          <w:rFonts w:ascii="仿宋_GB2312" w:hAnsi="仿宋_GB2312" w:eastAsia="仿宋_GB2312"/>
          <w:color w:val="auto"/>
          <w:sz w:val="32"/>
          <w:shd w:val="clear" w:color="auto" w:fill="FFFFFF"/>
        </w:rPr>
        <w:t>前出生的新生儿、夫妻投靠、复退转军人等新登记入户的人员</w:t>
      </w:r>
      <w:r>
        <w:rPr>
          <w:rFonts w:hint="eastAsia" w:ascii="仿宋_GB2312" w:hAnsi="仿宋_GB2312" w:eastAsia="仿宋_GB2312"/>
          <w:color w:val="auto"/>
          <w:sz w:val="32"/>
          <w:shd w:val="clear" w:color="auto" w:fill="FFFFFF"/>
        </w:rPr>
        <w:t>。</w:t>
      </w:r>
    </w:p>
    <w:p>
      <w:pPr>
        <w:shd w:val="solid" w:color="FFFFFF" w:fill="auto"/>
        <w:autoSpaceDN w:val="0"/>
        <w:spacing w:line="540" w:lineRule="exact"/>
        <w:ind w:firstLine="632" w:firstLineChars="200"/>
        <w:jc w:val="left"/>
        <w:rPr>
          <w:rFonts w:ascii="仿宋_GB2312" w:hAnsi="仿宋_GB2312" w:eastAsia="仿宋_GB2312"/>
          <w:color w:val="auto"/>
          <w:sz w:val="32"/>
          <w:shd w:val="clear" w:color="auto" w:fill="FFFFFF"/>
        </w:rPr>
      </w:pPr>
      <w:r>
        <w:rPr>
          <w:rFonts w:hint="eastAsia" w:ascii="仿宋_GB2312" w:hAnsi="仿宋_GB2312" w:eastAsia="仿宋_GB2312"/>
          <w:color w:val="auto"/>
          <w:sz w:val="32"/>
          <w:shd w:val="clear" w:color="auto" w:fill="FFFFFF"/>
          <w:lang w:val="en-US" w:eastAsia="zh-CN"/>
        </w:rPr>
        <w:t>3.</w:t>
      </w:r>
      <w:r>
        <w:rPr>
          <w:rFonts w:ascii="仿宋_GB2312" w:hAnsi="仿宋_GB2312" w:eastAsia="仿宋_GB2312"/>
          <w:color w:val="auto"/>
          <w:sz w:val="32"/>
          <w:shd w:val="clear" w:color="auto" w:fill="FFFFFF"/>
        </w:rPr>
        <w:t>下列人员不列入安置对象</w:t>
      </w:r>
      <w:r>
        <w:rPr>
          <w:rFonts w:hint="eastAsia" w:ascii="仿宋_GB2312" w:hAnsi="仿宋_GB2312" w:eastAsia="仿宋_GB2312"/>
          <w:color w:val="auto"/>
          <w:sz w:val="32"/>
          <w:shd w:val="clear" w:color="auto" w:fill="FFFFFF"/>
        </w:rPr>
        <w:t>：</w:t>
      </w:r>
    </w:p>
    <w:p>
      <w:pPr>
        <w:shd w:val="solid" w:color="FFFFFF" w:fill="auto"/>
        <w:autoSpaceDN w:val="0"/>
        <w:spacing w:line="540" w:lineRule="exact"/>
        <w:ind w:firstLine="632" w:firstLineChars="200"/>
        <w:jc w:val="left"/>
        <w:rPr>
          <w:rFonts w:ascii="仿宋_GB2312" w:hAnsi="仿宋_GB2312" w:eastAsia="仿宋_GB2312"/>
          <w:color w:val="auto"/>
          <w:sz w:val="30"/>
          <w:shd w:val="clear" w:color="auto" w:fill="FFFFFF"/>
        </w:rPr>
      </w:pPr>
      <w:r>
        <w:rPr>
          <w:rFonts w:hint="eastAsia" w:ascii="仿宋_GB2312" w:hAnsi="仿宋_GB2312" w:eastAsia="仿宋_GB2312"/>
          <w:color w:val="auto"/>
          <w:sz w:val="32"/>
          <w:shd w:val="clear" w:color="auto" w:fill="FFFFFF"/>
        </w:rPr>
        <w:t>（1）</w:t>
      </w:r>
      <w:r>
        <w:rPr>
          <w:rFonts w:ascii="仿宋_GB2312" w:hAnsi="仿宋_GB2312" w:eastAsia="仿宋_GB2312"/>
          <w:color w:val="auto"/>
          <w:sz w:val="32"/>
          <w:shd w:val="clear" w:color="auto" w:fill="FFFFFF"/>
        </w:rPr>
        <w:t>党政机关、人民团体、事业单位在编在职的财供人员，经组织人事部门正式任命或聘用的国有企业管理人员，已享受国家房改政策的上述各类离退休公职人员；</w:t>
      </w:r>
    </w:p>
    <w:p>
      <w:pPr>
        <w:shd w:val="solid" w:color="FFFFFF" w:fill="auto"/>
        <w:autoSpaceDN w:val="0"/>
        <w:spacing w:line="540" w:lineRule="exact"/>
        <w:ind w:firstLine="646"/>
        <w:jc w:val="left"/>
        <w:rPr>
          <w:rFonts w:ascii="仿宋_GB2312" w:hAnsi="仿宋_GB2312" w:eastAsia="仿宋_GB2312"/>
          <w:color w:val="auto"/>
          <w:sz w:val="30"/>
          <w:shd w:val="clear" w:color="auto" w:fill="FFFFFF"/>
        </w:rPr>
      </w:pPr>
      <w:r>
        <w:rPr>
          <w:rFonts w:hint="eastAsia" w:ascii="仿宋_GB2312" w:hAnsi="仿宋_GB2312" w:eastAsia="仿宋_GB2312"/>
          <w:color w:val="auto"/>
          <w:sz w:val="32"/>
          <w:shd w:val="clear" w:color="auto" w:fill="FFFFFF"/>
        </w:rPr>
        <w:t>（2）</w:t>
      </w:r>
      <w:r>
        <w:rPr>
          <w:rFonts w:ascii="仿宋_GB2312" w:hAnsi="仿宋_GB2312" w:eastAsia="仿宋_GB2312"/>
          <w:color w:val="auto"/>
          <w:sz w:val="32"/>
          <w:shd w:val="clear" w:color="auto" w:fill="FFFFFF"/>
        </w:rPr>
        <w:t>在签订</w:t>
      </w:r>
      <w:r>
        <w:rPr>
          <w:rFonts w:hint="eastAsia" w:ascii="仿宋_GB2312" w:hAnsi="仿宋_GB2312" w:eastAsia="仿宋_GB2312"/>
          <w:color w:val="auto"/>
          <w:sz w:val="32"/>
          <w:shd w:val="clear" w:color="auto" w:fill="FFFFFF"/>
        </w:rPr>
        <w:t>征收补偿安置</w:t>
      </w:r>
      <w:r>
        <w:rPr>
          <w:rFonts w:ascii="仿宋_GB2312" w:hAnsi="仿宋_GB2312" w:eastAsia="仿宋_GB2312"/>
          <w:color w:val="auto"/>
          <w:sz w:val="32"/>
          <w:shd w:val="clear" w:color="auto" w:fill="FFFFFF"/>
        </w:rPr>
        <w:t>协议前死亡，户口未注销的；</w:t>
      </w:r>
    </w:p>
    <w:p>
      <w:pPr>
        <w:shd w:val="solid" w:color="FFFFFF" w:fill="auto"/>
        <w:autoSpaceDN w:val="0"/>
        <w:spacing w:line="540" w:lineRule="exact"/>
        <w:ind w:firstLine="646"/>
        <w:jc w:val="left"/>
        <w:rPr>
          <w:rFonts w:ascii="仿宋_GB2312" w:hAnsi="仿宋_GB2312" w:eastAsia="仿宋_GB2312"/>
          <w:color w:val="auto"/>
          <w:sz w:val="30"/>
          <w:shd w:val="clear" w:color="auto" w:fill="FFFFFF"/>
        </w:rPr>
      </w:pPr>
      <w:r>
        <w:rPr>
          <w:rFonts w:hint="eastAsia" w:ascii="仿宋_GB2312" w:hAnsi="仿宋_GB2312" w:eastAsia="仿宋_GB2312"/>
          <w:color w:val="auto"/>
          <w:sz w:val="32"/>
          <w:shd w:val="clear" w:color="auto" w:fill="FFFFFF"/>
        </w:rPr>
        <w:t>（3）</w:t>
      </w:r>
      <w:r>
        <w:rPr>
          <w:rFonts w:ascii="仿宋_GB2312" w:hAnsi="仿宋_GB2312" w:eastAsia="仿宋_GB2312"/>
          <w:color w:val="auto"/>
          <w:sz w:val="32"/>
          <w:shd w:val="clear" w:color="auto" w:fill="FFFFFF"/>
        </w:rPr>
        <w:t>已在大亚湾</w:t>
      </w:r>
      <w:r>
        <w:rPr>
          <w:rFonts w:hint="eastAsia" w:ascii="仿宋_GB2312" w:hAnsi="仿宋_GB2312" w:eastAsia="仿宋_GB2312"/>
          <w:color w:val="auto"/>
          <w:sz w:val="32"/>
          <w:shd w:val="clear" w:color="auto" w:fill="FFFFFF"/>
        </w:rPr>
        <w:t>区内</w:t>
      </w:r>
      <w:r>
        <w:rPr>
          <w:rFonts w:ascii="仿宋_GB2312" w:hAnsi="仿宋_GB2312" w:eastAsia="仿宋_GB2312"/>
          <w:color w:val="auto"/>
          <w:sz w:val="32"/>
          <w:shd w:val="clear" w:color="auto" w:fill="FFFFFF"/>
        </w:rPr>
        <w:t>其他征收项目中按规定</w:t>
      </w:r>
      <w:r>
        <w:rPr>
          <w:rFonts w:hint="eastAsia" w:ascii="仿宋_GB2312" w:hAnsi="仿宋_GB2312" w:eastAsia="仿宋_GB2312"/>
          <w:color w:val="auto"/>
          <w:sz w:val="32"/>
          <w:shd w:val="clear" w:color="auto" w:fill="FFFFFF"/>
        </w:rPr>
        <w:t>享受过</w:t>
      </w:r>
      <w:r>
        <w:rPr>
          <w:rFonts w:ascii="仿宋_GB2312" w:hAnsi="仿宋_GB2312" w:eastAsia="仿宋_GB2312"/>
          <w:color w:val="auto"/>
          <w:sz w:val="32"/>
          <w:shd w:val="clear" w:color="auto" w:fill="FFFFFF"/>
        </w:rPr>
        <w:t>政府</w:t>
      </w:r>
      <w:r>
        <w:rPr>
          <w:rFonts w:hint="eastAsia" w:ascii="仿宋_GB2312" w:hAnsi="仿宋_GB2312" w:eastAsia="仿宋_GB2312"/>
          <w:color w:val="auto"/>
          <w:sz w:val="32"/>
          <w:shd w:val="clear" w:color="auto" w:fill="FFFFFF"/>
        </w:rPr>
        <w:t>征收</w:t>
      </w:r>
      <w:r>
        <w:rPr>
          <w:rFonts w:ascii="仿宋_GB2312" w:hAnsi="仿宋_GB2312" w:eastAsia="仿宋_GB2312"/>
          <w:color w:val="auto"/>
          <w:sz w:val="32"/>
          <w:shd w:val="clear" w:color="auto" w:fill="FFFFFF"/>
        </w:rPr>
        <w:t>安置的人员；</w:t>
      </w:r>
    </w:p>
    <w:p>
      <w:pPr>
        <w:numPr>
          <w:ilvl w:val="0"/>
          <w:numId w:val="0"/>
        </w:numPr>
        <w:shd w:val="solid" w:color="FFFFFF" w:fill="auto"/>
        <w:autoSpaceDN w:val="0"/>
        <w:spacing w:line="540" w:lineRule="exact"/>
        <w:ind w:firstLine="632" w:firstLineChars="200"/>
        <w:jc w:val="left"/>
        <w:rPr>
          <w:rFonts w:hint="eastAsia" w:ascii="仿宋_GB2312" w:hAnsi="仿宋_GB2312" w:eastAsia="仿宋_GB2312"/>
          <w:color w:val="auto"/>
          <w:sz w:val="32"/>
          <w:shd w:val="clear" w:color="auto" w:fill="FFFFFF"/>
        </w:rPr>
      </w:pPr>
      <w:r>
        <w:rPr>
          <w:rFonts w:hint="eastAsia" w:ascii="仿宋_GB2312" w:hAnsi="仿宋_GB2312" w:eastAsia="仿宋_GB2312"/>
          <w:color w:val="auto"/>
          <w:sz w:val="32"/>
          <w:shd w:val="clear" w:color="auto" w:fill="FFFFFF"/>
        </w:rPr>
        <w:t>（4）</w:t>
      </w:r>
      <w:r>
        <w:rPr>
          <w:rFonts w:ascii="仿宋_GB2312" w:hAnsi="仿宋_GB2312" w:eastAsia="仿宋_GB2312"/>
          <w:color w:val="auto"/>
          <w:sz w:val="32"/>
          <w:shd w:val="clear" w:color="auto" w:fill="FFFFFF"/>
        </w:rPr>
        <w:t>其他不符合本条</w:t>
      </w:r>
      <w:r>
        <w:rPr>
          <w:rFonts w:hint="eastAsia" w:ascii="仿宋_GB2312" w:hAnsi="仿宋_GB2312" w:eastAsia="仿宋_GB2312"/>
          <w:color w:val="auto"/>
          <w:sz w:val="32"/>
          <w:shd w:val="clear" w:color="auto" w:fill="FFFFFF"/>
          <w:lang w:val="en-US" w:eastAsia="zh-CN"/>
        </w:rPr>
        <w:t>第（一）项</w:t>
      </w:r>
      <w:r>
        <w:rPr>
          <w:rFonts w:ascii="仿宋_GB2312" w:hAnsi="仿宋_GB2312" w:eastAsia="仿宋_GB2312"/>
          <w:color w:val="auto"/>
          <w:sz w:val="32"/>
          <w:shd w:val="clear" w:color="auto" w:fill="FFFFFF"/>
        </w:rPr>
        <w:t>第</w:t>
      </w:r>
      <w:r>
        <w:rPr>
          <w:rFonts w:hint="eastAsia" w:ascii="仿宋_GB2312" w:hAnsi="仿宋_GB2312" w:eastAsia="仿宋_GB2312"/>
          <w:color w:val="auto"/>
          <w:sz w:val="32"/>
          <w:shd w:val="clear" w:color="auto" w:fill="FFFFFF"/>
        </w:rPr>
        <w:t>2</w:t>
      </w:r>
      <w:r>
        <w:rPr>
          <w:rFonts w:hint="eastAsia" w:ascii="仿宋_GB2312" w:hAnsi="仿宋_GB2312" w:eastAsia="仿宋_GB2312"/>
          <w:color w:val="auto"/>
          <w:sz w:val="32"/>
          <w:shd w:val="clear" w:color="auto" w:fill="FFFFFF"/>
          <w:lang w:val="en-US" w:eastAsia="zh-CN"/>
        </w:rPr>
        <w:t>目</w:t>
      </w:r>
      <w:r>
        <w:rPr>
          <w:rFonts w:ascii="仿宋_GB2312" w:hAnsi="仿宋_GB2312" w:eastAsia="仿宋_GB2312"/>
          <w:color w:val="auto"/>
          <w:sz w:val="32"/>
          <w:shd w:val="clear" w:color="auto" w:fill="FFFFFF"/>
        </w:rPr>
        <w:t>条件的。</w:t>
      </w:r>
    </w:p>
    <w:p>
      <w:pPr>
        <w:shd w:val="solid" w:color="FFFFFF" w:fill="auto"/>
        <w:autoSpaceDN w:val="0"/>
        <w:spacing w:line="540" w:lineRule="exact"/>
        <w:ind w:firstLine="632" w:firstLineChars="200"/>
        <w:jc w:val="left"/>
        <w:rPr>
          <w:rFonts w:hint="eastAsia" w:ascii="楷体_GB2312" w:hAnsi="楷体_GB2312" w:eastAsia="楷体_GB2312" w:cs="楷体_GB2312"/>
          <w:color w:val="auto"/>
          <w:sz w:val="32"/>
          <w:shd w:val="clear" w:color="auto" w:fill="FFFFFF"/>
        </w:rPr>
      </w:pPr>
      <w:r>
        <w:rPr>
          <w:rFonts w:hint="eastAsia" w:ascii="楷体_GB2312" w:hAnsi="楷体_GB2312" w:eastAsia="楷体_GB2312" w:cs="楷体_GB2312"/>
          <w:color w:val="auto"/>
          <w:sz w:val="32"/>
          <w:shd w:val="clear" w:color="auto" w:fill="FFFFFF"/>
        </w:rPr>
        <w:t>（二）原籍外出户</w:t>
      </w:r>
    </w:p>
    <w:p>
      <w:pPr>
        <w:shd w:val="solid" w:color="FFFFFF" w:fill="auto"/>
        <w:autoSpaceDN w:val="0"/>
        <w:spacing w:line="540" w:lineRule="exact"/>
        <w:ind w:firstLine="632" w:firstLineChars="200"/>
        <w:jc w:val="left"/>
        <w:rPr>
          <w:rFonts w:ascii="仿宋_GB2312" w:hAnsi="仿宋_GB2312" w:eastAsia="仿宋_GB2312"/>
          <w:color w:val="auto"/>
          <w:sz w:val="32"/>
          <w:shd w:val="clear" w:color="auto" w:fill="FFFFFF"/>
        </w:rPr>
      </w:pPr>
      <w:r>
        <w:rPr>
          <w:rFonts w:hint="eastAsia" w:ascii="仿宋_GB2312" w:hAnsi="仿宋_GB2312" w:eastAsia="仿宋_GB2312"/>
          <w:color w:val="auto"/>
          <w:sz w:val="32"/>
          <w:shd w:val="clear" w:color="auto" w:fill="FFFFFF"/>
        </w:rPr>
        <w:t>1.原籍外出户是指原籍在本村并在本村出生，户口已迁离征收范围内所在村小组，但在征收范围内有合法房屋的家庭，在</w:t>
      </w:r>
      <w:r>
        <w:rPr>
          <w:rFonts w:hint="eastAsia" w:ascii="仿宋_GB2312" w:eastAsia="仿宋_GB2312"/>
          <w:color w:val="auto"/>
          <w:sz w:val="32"/>
          <w:szCs w:val="32"/>
        </w:rPr>
        <w:t>2021年1月25日</w:t>
      </w:r>
      <w:r>
        <w:rPr>
          <w:rFonts w:hint="eastAsia" w:ascii="仿宋_GB2312" w:hAnsi="仿宋_GB2312" w:eastAsia="仿宋_GB2312"/>
          <w:color w:val="auto"/>
          <w:sz w:val="32"/>
          <w:shd w:val="clear" w:color="auto" w:fill="FFFFFF"/>
        </w:rPr>
        <w:t>前结婚成家的可认定为一户。如子女已分户的，其父母随其中一子女，不再另行分户。</w:t>
      </w:r>
    </w:p>
    <w:p>
      <w:pPr>
        <w:shd w:val="solid" w:color="FFFFFF" w:fill="auto"/>
        <w:autoSpaceDN w:val="0"/>
        <w:spacing w:line="540" w:lineRule="exact"/>
        <w:ind w:firstLine="632" w:firstLineChars="200"/>
        <w:jc w:val="left"/>
        <w:rPr>
          <w:rFonts w:hint="eastAsia" w:ascii="黑体" w:hAnsi="黑体" w:eastAsia="黑体" w:cs="黑体"/>
          <w:color w:val="auto"/>
          <w:sz w:val="32"/>
          <w:szCs w:val="32"/>
          <w:lang w:val="en-US" w:eastAsia="zh-CN"/>
        </w:rPr>
      </w:pPr>
      <w:r>
        <w:rPr>
          <w:rFonts w:hint="eastAsia" w:ascii="仿宋_GB2312" w:hAnsi="仿宋_GB2312" w:eastAsia="仿宋_GB2312"/>
          <w:color w:val="auto"/>
          <w:sz w:val="32"/>
          <w:shd w:val="clear" w:color="auto" w:fill="FFFFFF"/>
        </w:rPr>
        <w:t>2.户口已迁离征收范围内所在村小组的外嫁女，不予认定为原籍外出户。</w:t>
      </w:r>
    </w:p>
    <w:p>
      <w:pPr>
        <w:numPr>
          <w:ilvl w:val="0"/>
          <w:numId w:val="0"/>
        </w:numPr>
        <w:shd w:val="solid" w:color="FFFFFF" w:fill="auto"/>
        <w:autoSpaceDN w:val="0"/>
        <w:spacing w:line="560" w:lineRule="exact"/>
        <w:jc w:val="left"/>
        <w:rPr>
          <w:rFonts w:hint="eastAsia" w:ascii="仿宋_GB2312" w:hAnsi="仿宋_GB2312" w:eastAsia="仿宋_GB2312" w:cs="仿宋_GB2312"/>
          <w:color w:val="auto"/>
          <w:sz w:val="32"/>
          <w:shd w:val="clear" w:color="auto" w:fill="FFFFFF"/>
          <w:lang w:eastAsia="zh-CN"/>
        </w:rPr>
      </w:pPr>
    </w:p>
    <w:p>
      <w:pPr>
        <w:numPr>
          <w:ilvl w:val="0"/>
          <w:numId w:val="0"/>
        </w:numPr>
        <w:spacing w:line="560" w:lineRule="exact"/>
        <w:jc w:val="center"/>
        <w:rPr>
          <w:rFonts w:hint="eastAsia" w:ascii="黑体" w:eastAsia="黑体"/>
          <w:color w:val="auto"/>
          <w:sz w:val="36"/>
          <w:szCs w:val="36"/>
        </w:rPr>
      </w:pPr>
      <w:r>
        <w:rPr>
          <w:rFonts w:hint="eastAsia" w:ascii="黑体" w:eastAsia="黑体"/>
          <w:color w:val="auto"/>
          <w:sz w:val="36"/>
          <w:szCs w:val="36"/>
          <w:lang w:val="en-US" w:eastAsia="zh-CN"/>
        </w:rPr>
        <w:t>第三章  村民住宅</w:t>
      </w:r>
      <w:r>
        <w:rPr>
          <w:rFonts w:hint="eastAsia" w:ascii="黑体" w:eastAsia="黑体"/>
          <w:color w:val="auto"/>
          <w:sz w:val="36"/>
          <w:szCs w:val="36"/>
        </w:rPr>
        <w:t>补偿程序</w:t>
      </w:r>
    </w:p>
    <w:p>
      <w:pPr>
        <w:numPr>
          <w:ilvl w:val="0"/>
          <w:numId w:val="0"/>
        </w:numPr>
        <w:spacing w:line="560" w:lineRule="exact"/>
        <w:jc w:val="both"/>
        <w:rPr>
          <w:rFonts w:hint="eastAsia" w:ascii="黑体" w:eastAsia="黑体"/>
          <w:color w:val="auto"/>
          <w:sz w:val="36"/>
          <w:szCs w:val="36"/>
        </w:rPr>
      </w:pPr>
    </w:p>
    <w:p>
      <w:pPr>
        <w:spacing w:line="560" w:lineRule="exact"/>
        <w:ind w:firstLine="632" w:firstLineChars="200"/>
        <w:rPr>
          <w:rFonts w:hint="eastAsia" w:ascii="仿宋_GB2312" w:eastAsia="仿宋_GB2312"/>
          <w:color w:val="auto"/>
          <w:sz w:val="32"/>
          <w:szCs w:val="32"/>
          <w:lang w:eastAsia="zh-CN"/>
        </w:rPr>
      </w:pPr>
      <w:r>
        <w:rPr>
          <w:rFonts w:hint="eastAsia" w:ascii="黑体" w:eastAsia="黑体"/>
          <w:color w:val="auto"/>
          <w:sz w:val="32"/>
          <w:szCs w:val="32"/>
        </w:rPr>
        <w:t>第</w:t>
      </w:r>
      <w:r>
        <w:rPr>
          <w:rFonts w:hint="eastAsia" w:ascii="黑体" w:eastAsia="黑体"/>
          <w:color w:val="auto"/>
          <w:sz w:val="32"/>
          <w:szCs w:val="32"/>
          <w:lang w:val="en-US" w:eastAsia="zh-CN"/>
        </w:rPr>
        <w:t>七</w:t>
      </w:r>
      <w:r>
        <w:rPr>
          <w:rFonts w:hint="eastAsia" w:ascii="黑体" w:eastAsia="黑体"/>
          <w:color w:val="auto"/>
          <w:sz w:val="32"/>
          <w:szCs w:val="32"/>
        </w:rPr>
        <w:t>条</w:t>
      </w:r>
      <w:r>
        <w:rPr>
          <w:rFonts w:hint="eastAsia" w:ascii="仿宋_GB2312" w:eastAsia="仿宋_GB2312"/>
          <w:color w:val="auto"/>
          <w:sz w:val="32"/>
          <w:szCs w:val="32"/>
        </w:rPr>
        <w:t xml:space="preserve">  </w:t>
      </w:r>
      <w:r>
        <w:rPr>
          <w:rFonts w:hint="eastAsia" w:ascii="仿宋_GB2312" w:hAnsi="仿宋_GB2312" w:eastAsia="仿宋_GB2312"/>
          <w:color w:val="auto"/>
          <w:sz w:val="32"/>
          <w:shd w:val="clear" w:color="auto" w:fill="FFFFFF"/>
          <w:lang w:val="en-US" w:eastAsia="zh-CN"/>
        </w:rPr>
        <w:t>村民住宅</w:t>
      </w:r>
      <w:r>
        <w:rPr>
          <w:rFonts w:hint="eastAsia" w:ascii="仿宋_GB2312" w:hAnsi="仿宋_GB2312" w:eastAsia="仿宋_GB2312"/>
          <w:color w:val="auto"/>
          <w:sz w:val="32"/>
          <w:shd w:val="clear" w:color="auto" w:fill="FFFFFF"/>
        </w:rPr>
        <w:t>补偿按下列程序实施</w:t>
      </w:r>
      <w:r>
        <w:rPr>
          <w:rFonts w:hint="eastAsia" w:ascii="仿宋_GB2312" w:hAnsi="仿宋_GB2312" w:eastAsia="仿宋_GB2312"/>
          <w:color w:val="auto"/>
          <w:sz w:val="32"/>
          <w:shd w:val="clear" w:color="auto" w:fill="FFFFFF"/>
          <w:lang w:eastAsia="zh-CN"/>
        </w:rPr>
        <w:t>：</w:t>
      </w:r>
    </w:p>
    <w:p>
      <w:pPr>
        <w:spacing w:line="560" w:lineRule="exact"/>
        <w:ind w:firstLine="645"/>
        <w:rPr>
          <w:rFonts w:ascii="仿宋_GB2312" w:eastAsia="仿宋_GB2312"/>
          <w:color w:val="auto"/>
          <w:sz w:val="32"/>
          <w:szCs w:val="32"/>
        </w:rPr>
      </w:pPr>
      <w:r>
        <w:rPr>
          <w:rFonts w:hint="eastAsia" w:ascii="楷体_GB2312" w:hAnsi="楷体_GB2312" w:eastAsia="楷体_GB2312" w:cs="楷体_GB2312"/>
          <w:color w:val="auto"/>
          <w:sz w:val="32"/>
          <w:szCs w:val="32"/>
        </w:rPr>
        <w:t>（一）发布村庄整体搬迁通告。</w:t>
      </w:r>
      <w:r>
        <w:rPr>
          <w:rFonts w:hint="eastAsia" w:ascii="仿宋_GB2312" w:eastAsia="仿宋_GB2312"/>
          <w:color w:val="auto"/>
          <w:sz w:val="32"/>
          <w:szCs w:val="32"/>
        </w:rPr>
        <w:t>征收人向被征收人发布村庄整体搬迁通告，征收人应及时向被征收人做好宣传、解释工作。</w:t>
      </w:r>
    </w:p>
    <w:p>
      <w:pPr>
        <w:spacing w:line="560" w:lineRule="exact"/>
        <w:ind w:firstLine="632" w:firstLineChars="200"/>
        <w:rPr>
          <w:rFonts w:ascii="仿宋_GB2312" w:eastAsia="仿宋_GB2312"/>
          <w:color w:val="auto"/>
          <w:sz w:val="32"/>
          <w:szCs w:val="32"/>
        </w:rPr>
      </w:pPr>
      <w:r>
        <w:rPr>
          <w:rFonts w:hint="eastAsia" w:ascii="楷体_GB2312" w:hAnsi="楷体_GB2312" w:eastAsia="楷体_GB2312" w:cs="楷体_GB2312"/>
          <w:color w:val="auto"/>
          <w:sz w:val="32"/>
          <w:szCs w:val="32"/>
        </w:rPr>
        <w:t>（二）开展拟征收房屋及其附属物</w:t>
      </w:r>
      <w:r>
        <w:rPr>
          <w:rFonts w:hint="eastAsia" w:ascii="楷体_GB2312" w:hAnsi="楷体_GB2312" w:eastAsia="楷体_GB2312" w:cs="楷体_GB2312"/>
          <w:color w:val="auto"/>
          <w:sz w:val="32"/>
          <w:szCs w:val="32"/>
          <w:lang w:val="en-US" w:eastAsia="zh-CN"/>
        </w:rPr>
        <w:t>现状调查</w:t>
      </w:r>
      <w:r>
        <w:rPr>
          <w:rFonts w:hint="eastAsia" w:ascii="楷体_GB2312" w:hAnsi="楷体_GB2312" w:eastAsia="楷体_GB2312" w:cs="楷体_GB2312"/>
          <w:color w:val="auto"/>
          <w:sz w:val="32"/>
          <w:szCs w:val="32"/>
        </w:rPr>
        <w:t>。</w:t>
      </w:r>
      <w:r>
        <w:rPr>
          <w:rFonts w:hint="eastAsia" w:ascii="仿宋_GB2312" w:eastAsia="仿宋_GB2312"/>
          <w:color w:val="auto"/>
          <w:sz w:val="32"/>
          <w:szCs w:val="32"/>
        </w:rPr>
        <w:t>区动迁办负责委托第三方测绘机构对</w:t>
      </w:r>
      <w:r>
        <w:rPr>
          <w:rFonts w:hint="eastAsia" w:ascii="仿宋_GB2312" w:eastAsia="仿宋_GB2312"/>
          <w:color w:val="auto"/>
          <w:sz w:val="32"/>
        </w:rPr>
        <w:t>本次搬迁</w:t>
      </w:r>
      <w:r>
        <w:rPr>
          <w:rFonts w:hint="eastAsia" w:ascii="仿宋_GB2312" w:eastAsia="仿宋_GB2312"/>
          <w:color w:val="auto"/>
          <w:sz w:val="32"/>
          <w:szCs w:val="32"/>
        </w:rPr>
        <w:t>征收范围内的拟征收村民住宅、村民住宅外的房屋及其附属物进行勘测、拍照，出具测绘报告，为征收补偿提供依据和技术支持。</w:t>
      </w:r>
    </w:p>
    <w:p>
      <w:pPr>
        <w:spacing w:line="560" w:lineRule="exact"/>
        <w:ind w:firstLine="632" w:firstLineChars="20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三</w:t>
      </w:r>
      <w:r>
        <w:rPr>
          <w:rFonts w:hint="eastAsia" w:ascii="楷体_GB2312" w:hAnsi="楷体_GB2312" w:eastAsia="楷体_GB2312" w:cs="楷体_GB2312"/>
          <w:color w:val="auto"/>
          <w:sz w:val="32"/>
          <w:szCs w:val="32"/>
        </w:rPr>
        <w:t>）财产</w:t>
      </w:r>
      <w:r>
        <w:rPr>
          <w:rFonts w:hint="eastAsia" w:ascii="楷体_GB2312" w:hAnsi="楷体_GB2312" w:eastAsia="楷体_GB2312" w:cs="楷体_GB2312"/>
          <w:color w:val="auto"/>
          <w:sz w:val="32"/>
          <w:szCs w:val="32"/>
          <w:lang w:val="en-US" w:eastAsia="zh-CN"/>
        </w:rPr>
        <w:t>和</w:t>
      </w:r>
      <w:r>
        <w:rPr>
          <w:rFonts w:hint="eastAsia" w:ascii="楷体_GB2312" w:hAnsi="楷体_GB2312" w:eastAsia="楷体_GB2312" w:cs="楷体_GB2312"/>
          <w:color w:val="auto"/>
          <w:sz w:val="32"/>
          <w:szCs w:val="32"/>
        </w:rPr>
        <w:t>安置人数登记确认、公示</w:t>
      </w:r>
    </w:p>
    <w:p>
      <w:pPr>
        <w:spacing w:line="560" w:lineRule="exact"/>
        <w:ind w:firstLine="632" w:firstLineChars="200"/>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通告</w:t>
      </w:r>
      <w:r>
        <w:rPr>
          <w:rFonts w:hint="eastAsia" w:ascii="仿宋_GB2312" w:eastAsia="仿宋_GB2312"/>
          <w:color w:val="auto"/>
          <w:sz w:val="32"/>
          <w:szCs w:val="32"/>
          <w:lang w:eastAsia="zh-CN"/>
        </w:rPr>
        <w:t>》</w:t>
      </w:r>
      <w:r>
        <w:rPr>
          <w:rFonts w:hint="eastAsia" w:ascii="仿宋_GB2312" w:eastAsia="仿宋_GB2312"/>
          <w:color w:val="auto"/>
          <w:sz w:val="32"/>
          <w:szCs w:val="32"/>
        </w:rPr>
        <w:t>发布后，霞涌村委会和山子头、石井澳村小组对公告范围内的村民住宅进行调查。该调查结果须经村民会议或村民代表会议审议通过后，在村委会、村小组范围内张贴公示 7 日以上，公示期满无异议或者异议不成立的，报霞涌街道办。</w:t>
      </w:r>
    </w:p>
    <w:p>
      <w:pPr>
        <w:spacing w:line="560" w:lineRule="exact"/>
        <w:ind w:firstLine="632" w:firstLineChars="200"/>
        <w:rPr>
          <w:rFonts w:ascii="仿宋_GB2312" w:eastAsia="仿宋_GB2312"/>
          <w:color w:val="auto"/>
          <w:sz w:val="32"/>
          <w:szCs w:val="32"/>
        </w:rPr>
      </w:pPr>
      <w:r>
        <w:rPr>
          <w:rFonts w:hint="eastAsia" w:ascii="仿宋_GB2312" w:eastAsia="仿宋_GB2312"/>
          <w:color w:val="auto"/>
          <w:sz w:val="32"/>
          <w:szCs w:val="32"/>
        </w:rPr>
        <w:t>2.霞涌街道办根据村委会、村小组调查公示结果，牵头组织社管、国土、住建、执法、动迁等有关部门，依法对搬迁范围内的房屋是否属于村民住宅以及村民住宅是否符合一户一宅、安置人数和分户情况等进行调查、审核、认定，在霞涌街道办、霞涌村委会、山子头和石井澳村小组范围内张贴公示，公示期限不少于5日。</w:t>
      </w:r>
    </w:p>
    <w:p>
      <w:pPr>
        <w:spacing w:line="560" w:lineRule="exact"/>
        <w:ind w:firstLine="632" w:firstLineChars="200"/>
        <w:rPr>
          <w:rFonts w:ascii="仿宋_GB2312" w:eastAsia="仿宋_GB2312"/>
          <w:color w:val="auto"/>
          <w:sz w:val="32"/>
          <w:szCs w:val="32"/>
        </w:rPr>
      </w:pPr>
      <w:r>
        <w:rPr>
          <w:rFonts w:hint="eastAsia" w:ascii="仿宋_GB2312" w:eastAsia="仿宋_GB2312"/>
          <w:color w:val="auto"/>
          <w:sz w:val="32"/>
          <w:szCs w:val="32"/>
        </w:rPr>
        <w:t>3.各动迁小组对拟征收房屋和附属物的现状等进行调查和登记。财产登记表须经现场调查和登记的动迁小组成员、被征收人签名确认。确认后由各动迁小组在霞涌街道办、霞涌村委会、山子头和石井澳村小组范围内张贴公示，公示期限不少于5日。</w:t>
      </w:r>
    </w:p>
    <w:p>
      <w:pPr>
        <w:spacing w:line="560" w:lineRule="exact"/>
        <w:ind w:firstLine="632" w:firstLineChars="20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四</w:t>
      </w:r>
      <w:r>
        <w:rPr>
          <w:rFonts w:hint="eastAsia" w:ascii="楷体_GB2312" w:hAnsi="楷体_GB2312" w:eastAsia="楷体_GB2312" w:cs="楷体_GB2312"/>
          <w:color w:val="auto"/>
          <w:sz w:val="32"/>
          <w:szCs w:val="32"/>
        </w:rPr>
        <w:t>）签订协议</w:t>
      </w:r>
    </w:p>
    <w:p>
      <w:pPr>
        <w:spacing w:line="560" w:lineRule="exact"/>
        <w:ind w:firstLine="632" w:firstLineChars="200"/>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rPr>
        <w:t>区动迁办与被征收人签订《村民住宅房屋补偿协议》《村民住宅以外的房屋补偿协议》（均简称协议）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被征收人应在签订协议时</w:t>
      </w:r>
      <w:r>
        <w:rPr>
          <w:rFonts w:hint="eastAsia" w:ascii="仿宋_GB2312" w:eastAsia="仿宋_GB2312"/>
          <w:color w:val="auto"/>
          <w:sz w:val="32"/>
          <w:szCs w:val="32"/>
        </w:rPr>
        <w:t>将《不动产权证》《房地产权证》《土地使用证》《房屋所有权证》等不动产权证及其他相关产权资料原件全部交给区动迁办，由区动迁办移交区国土分局办理注销登记等手续</w:t>
      </w:r>
      <w:r>
        <w:rPr>
          <w:rFonts w:hint="eastAsia" w:ascii="仿宋_GB2312" w:hAnsi="仿宋_GB2312" w:eastAsia="仿宋_GB2312" w:cs="仿宋_GB2312"/>
          <w:color w:val="auto"/>
          <w:sz w:val="32"/>
          <w:szCs w:val="32"/>
        </w:rPr>
        <w:t>。</w:t>
      </w:r>
    </w:p>
    <w:p>
      <w:pPr>
        <w:spacing w:line="560" w:lineRule="exact"/>
        <w:ind w:firstLine="632" w:firstLineChars="20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五</w:t>
      </w:r>
      <w:r>
        <w:rPr>
          <w:rFonts w:hint="eastAsia" w:ascii="楷体_GB2312" w:hAnsi="楷体_GB2312" w:eastAsia="楷体_GB2312" w:cs="楷体_GB2312"/>
          <w:color w:val="auto"/>
          <w:sz w:val="32"/>
          <w:szCs w:val="32"/>
        </w:rPr>
        <w:t>）支付征收补偿、补助及奖励款项</w:t>
      </w:r>
    </w:p>
    <w:p>
      <w:pPr>
        <w:spacing w:line="560" w:lineRule="exact"/>
        <w:ind w:firstLine="645"/>
        <w:rPr>
          <w:rFonts w:ascii="仿宋_GB2312" w:eastAsia="仿宋_GB2312"/>
          <w:color w:val="auto"/>
          <w:sz w:val="32"/>
          <w:szCs w:val="32"/>
        </w:rPr>
      </w:pPr>
      <w:r>
        <w:rPr>
          <w:rFonts w:hint="eastAsia" w:ascii="仿宋_GB2312" w:eastAsia="仿宋_GB2312"/>
          <w:color w:val="auto"/>
          <w:sz w:val="32"/>
          <w:szCs w:val="32"/>
        </w:rPr>
        <w:t>区动迁办按照已签订的协议约定支付补偿、补助及奖励款项给被征收人。</w:t>
      </w:r>
    </w:p>
    <w:p>
      <w:pPr>
        <w:spacing w:line="560" w:lineRule="exact"/>
        <w:ind w:firstLine="632" w:firstLineChars="20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六</w:t>
      </w:r>
      <w:r>
        <w:rPr>
          <w:rFonts w:hint="eastAsia" w:ascii="楷体_GB2312" w:hAnsi="楷体_GB2312" w:eastAsia="楷体_GB2312" w:cs="楷体_GB2312"/>
          <w:color w:val="auto"/>
          <w:sz w:val="32"/>
          <w:szCs w:val="32"/>
        </w:rPr>
        <w:t>）实施房屋拆除</w:t>
      </w:r>
    </w:p>
    <w:p>
      <w:pPr>
        <w:spacing w:line="560" w:lineRule="exact"/>
        <w:ind w:firstLine="645"/>
        <w:rPr>
          <w:rFonts w:hint="eastAsia" w:ascii="仿宋_GB2312" w:eastAsia="仿宋_GB2312"/>
          <w:color w:val="auto"/>
          <w:sz w:val="32"/>
          <w:szCs w:val="32"/>
        </w:rPr>
      </w:pPr>
      <w:r>
        <w:rPr>
          <w:rFonts w:hint="eastAsia" w:ascii="仿宋_GB2312" w:eastAsia="仿宋_GB2312"/>
          <w:color w:val="auto"/>
          <w:sz w:val="32"/>
          <w:szCs w:val="32"/>
        </w:rPr>
        <w:t>区动迁办</w:t>
      </w:r>
      <w:r>
        <w:rPr>
          <w:rFonts w:hint="eastAsia" w:ascii="仿宋_GB2312" w:eastAsia="仿宋_GB2312"/>
          <w:color w:val="auto"/>
          <w:sz w:val="32"/>
          <w:szCs w:val="32"/>
          <w:lang w:val="en-US" w:eastAsia="zh-CN"/>
        </w:rPr>
        <w:t>按协议约定</w:t>
      </w:r>
      <w:r>
        <w:rPr>
          <w:rFonts w:hint="eastAsia" w:ascii="仿宋_GB2312" w:eastAsia="仿宋_GB2312"/>
          <w:color w:val="auto"/>
          <w:sz w:val="32"/>
          <w:szCs w:val="32"/>
        </w:rPr>
        <w:t>支付房屋征收补偿款后，被征收人应按协议的约定腾退房屋，交由霞涌街道办组织拆除。</w:t>
      </w:r>
    </w:p>
    <w:p>
      <w:pPr>
        <w:spacing w:line="560" w:lineRule="exact"/>
        <w:ind w:firstLine="632" w:firstLineChars="200"/>
        <w:rPr>
          <w:rFonts w:ascii="仿宋_GB2312" w:eastAsia="仿宋_GB2312"/>
          <w:color w:val="auto"/>
          <w:sz w:val="32"/>
          <w:szCs w:val="32"/>
        </w:rPr>
      </w:pPr>
      <w:r>
        <w:rPr>
          <w:rFonts w:hint="eastAsia" w:ascii="黑体" w:eastAsia="黑体"/>
          <w:color w:val="auto"/>
          <w:sz w:val="32"/>
          <w:szCs w:val="32"/>
        </w:rPr>
        <w:t>第</w:t>
      </w:r>
      <w:r>
        <w:rPr>
          <w:rFonts w:hint="eastAsia" w:ascii="黑体" w:eastAsia="黑体"/>
          <w:color w:val="auto"/>
          <w:sz w:val="32"/>
          <w:szCs w:val="32"/>
          <w:lang w:val="en-US" w:eastAsia="zh-CN"/>
        </w:rPr>
        <w:t>八</w:t>
      </w:r>
      <w:r>
        <w:rPr>
          <w:rFonts w:hint="eastAsia" w:ascii="黑体" w:eastAsia="黑体"/>
          <w:color w:val="auto"/>
          <w:sz w:val="32"/>
          <w:szCs w:val="32"/>
        </w:rPr>
        <w:t>条</w:t>
      </w:r>
      <w:r>
        <w:rPr>
          <w:rFonts w:hint="eastAsia" w:ascii="仿宋_GB2312" w:eastAsia="仿宋_GB2312"/>
          <w:color w:val="auto"/>
          <w:sz w:val="32"/>
          <w:szCs w:val="32"/>
        </w:rPr>
        <w:t xml:space="preserve">  房屋征收签约时限，自本方案公布之日起</w:t>
      </w:r>
      <w:r>
        <w:rPr>
          <w:rFonts w:hint="eastAsia" w:ascii="仿宋_GB2312" w:eastAsia="仿宋_GB2312"/>
          <w:color w:val="auto"/>
          <w:sz w:val="32"/>
          <w:szCs w:val="32"/>
          <w:u w:val="single"/>
        </w:rPr>
        <w:t>90日（即2021年  月  日至202</w:t>
      </w:r>
      <w:r>
        <w:rPr>
          <w:rFonts w:hint="eastAsia" w:ascii="仿宋_GB2312" w:eastAsia="仿宋_GB2312"/>
          <w:color w:val="auto"/>
          <w:sz w:val="32"/>
          <w:szCs w:val="32"/>
          <w:u w:val="single"/>
          <w:lang w:val="en-US" w:eastAsia="zh-CN"/>
        </w:rPr>
        <w:t>2</w:t>
      </w:r>
      <w:r>
        <w:rPr>
          <w:rFonts w:hint="eastAsia" w:ascii="仿宋_GB2312" w:eastAsia="仿宋_GB2312"/>
          <w:color w:val="auto"/>
          <w:sz w:val="32"/>
          <w:szCs w:val="32"/>
          <w:u w:val="single"/>
        </w:rPr>
        <w:t>年  月  日）</w:t>
      </w:r>
      <w:r>
        <w:rPr>
          <w:rFonts w:hint="eastAsia" w:ascii="仿宋_GB2312" w:eastAsia="仿宋_GB2312"/>
          <w:color w:val="auto"/>
          <w:sz w:val="32"/>
          <w:szCs w:val="32"/>
        </w:rPr>
        <w:t>内完成全部房屋征收的协议签订工作。</w:t>
      </w:r>
    </w:p>
    <w:p>
      <w:pPr>
        <w:spacing w:line="560" w:lineRule="exact"/>
        <w:ind w:firstLine="645"/>
        <w:rPr>
          <w:rFonts w:ascii="仿宋_GB2312" w:eastAsia="仿宋_GB2312"/>
          <w:color w:val="auto"/>
          <w:sz w:val="32"/>
          <w:szCs w:val="32"/>
        </w:rPr>
      </w:pPr>
      <w:r>
        <w:rPr>
          <w:rFonts w:hint="eastAsia" w:ascii="黑体" w:eastAsia="黑体"/>
          <w:color w:val="auto"/>
          <w:sz w:val="32"/>
          <w:szCs w:val="32"/>
        </w:rPr>
        <w:t>第</w:t>
      </w:r>
      <w:r>
        <w:rPr>
          <w:rFonts w:hint="eastAsia" w:ascii="黑体" w:eastAsia="黑体"/>
          <w:color w:val="auto"/>
          <w:sz w:val="32"/>
          <w:szCs w:val="32"/>
          <w:lang w:val="en-US" w:eastAsia="zh-CN"/>
        </w:rPr>
        <w:t>九</w:t>
      </w:r>
      <w:r>
        <w:rPr>
          <w:rFonts w:hint="eastAsia" w:ascii="黑体" w:eastAsia="黑体"/>
          <w:color w:val="auto"/>
          <w:sz w:val="32"/>
          <w:szCs w:val="32"/>
        </w:rPr>
        <w:t xml:space="preserve">条  </w:t>
      </w:r>
      <w:r>
        <w:rPr>
          <w:rFonts w:hint="eastAsia" w:ascii="仿宋_GB2312" w:eastAsia="仿宋_GB2312"/>
          <w:color w:val="auto"/>
          <w:sz w:val="32"/>
          <w:szCs w:val="32"/>
        </w:rPr>
        <w:t>被征收房屋的权利人不明确，或者权利人不配合调查、登记、确认等工作的，依法通过公</w:t>
      </w:r>
      <w:bookmarkStart w:id="0" w:name="_GoBack"/>
      <w:bookmarkEnd w:id="0"/>
      <w:r>
        <w:rPr>
          <w:rFonts w:hint="eastAsia" w:ascii="仿宋_GB2312" w:eastAsia="仿宋_GB2312"/>
          <w:color w:val="auto"/>
          <w:sz w:val="32"/>
          <w:szCs w:val="32"/>
        </w:rPr>
        <w:t>证等方式确认。</w:t>
      </w:r>
    </w:p>
    <w:p>
      <w:pPr>
        <w:spacing w:line="560" w:lineRule="exact"/>
        <w:ind w:firstLine="632" w:firstLineChars="200"/>
        <w:rPr>
          <w:rFonts w:hint="eastAsia" w:ascii="仿宋_GB2312" w:eastAsia="仿宋_GB2312"/>
          <w:color w:val="auto"/>
          <w:sz w:val="32"/>
          <w:szCs w:val="32"/>
        </w:rPr>
      </w:pPr>
      <w:r>
        <w:rPr>
          <w:rFonts w:hint="eastAsia" w:ascii="黑体" w:eastAsia="黑体"/>
          <w:color w:val="auto"/>
          <w:sz w:val="32"/>
          <w:szCs w:val="32"/>
        </w:rPr>
        <w:t>第</w:t>
      </w:r>
      <w:r>
        <w:rPr>
          <w:rFonts w:hint="eastAsia" w:ascii="黑体" w:eastAsia="黑体"/>
          <w:color w:val="auto"/>
          <w:sz w:val="32"/>
          <w:szCs w:val="32"/>
          <w:lang w:eastAsia="zh-CN"/>
        </w:rPr>
        <w:t>十</w:t>
      </w:r>
      <w:r>
        <w:rPr>
          <w:rFonts w:hint="eastAsia" w:ascii="黑体" w:eastAsia="黑体"/>
          <w:color w:val="auto"/>
          <w:sz w:val="32"/>
          <w:szCs w:val="32"/>
        </w:rPr>
        <w:t>条</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被征收人在协议签订后未按约定的期限搬迁的，由征收人申请人民法院强制执行。</w:t>
      </w:r>
    </w:p>
    <w:p>
      <w:pPr>
        <w:spacing w:line="560" w:lineRule="exact"/>
        <w:ind w:firstLine="645"/>
        <w:rPr>
          <w:rFonts w:hint="eastAsia" w:ascii="仿宋_GB2312" w:eastAsia="仿宋_GB2312"/>
          <w:color w:val="auto"/>
          <w:sz w:val="32"/>
          <w:szCs w:val="32"/>
        </w:rPr>
      </w:pPr>
    </w:p>
    <w:p>
      <w:pPr>
        <w:numPr>
          <w:ilvl w:val="0"/>
          <w:numId w:val="0"/>
        </w:numPr>
        <w:spacing w:line="560" w:lineRule="exact"/>
        <w:jc w:val="center"/>
        <w:rPr>
          <w:rFonts w:ascii="黑体" w:eastAsia="黑体"/>
          <w:color w:val="auto"/>
          <w:sz w:val="36"/>
          <w:szCs w:val="36"/>
        </w:rPr>
      </w:pPr>
      <w:r>
        <w:rPr>
          <w:rFonts w:hint="eastAsia" w:ascii="黑体" w:hAnsi="黑体" w:eastAsia="黑体" w:cs="黑体"/>
          <w:color w:val="auto"/>
          <w:sz w:val="36"/>
          <w:szCs w:val="36"/>
          <w:lang w:val="en-US" w:eastAsia="zh-CN"/>
        </w:rPr>
        <w:t xml:space="preserve">第四章  </w:t>
      </w:r>
      <w:r>
        <w:rPr>
          <w:rFonts w:hint="eastAsia" w:ascii="黑体" w:hAnsi="黑体" w:eastAsia="黑体" w:cs="黑体"/>
          <w:color w:val="auto"/>
          <w:sz w:val="36"/>
          <w:szCs w:val="36"/>
        </w:rPr>
        <w:t>村民住宅房屋</w:t>
      </w:r>
      <w:r>
        <w:rPr>
          <w:rFonts w:hint="eastAsia" w:ascii="黑体" w:eastAsia="黑体"/>
          <w:color w:val="auto"/>
          <w:sz w:val="36"/>
          <w:szCs w:val="36"/>
        </w:rPr>
        <w:t>补偿</w:t>
      </w:r>
    </w:p>
    <w:p>
      <w:pPr>
        <w:spacing w:line="560" w:lineRule="exact"/>
        <w:rPr>
          <w:rFonts w:ascii="仿宋_GB2312" w:eastAsia="仿宋_GB2312"/>
          <w:color w:val="auto"/>
          <w:sz w:val="32"/>
          <w:szCs w:val="32"/>
        </w:rPr>
      </w:pPr>
    </w:p>
    <w:p>
      <w:pPr>
        <w:spacing w:line="560" w:lineRule="exact"/>
        <w:ind w:firstLine="632" w:firstLineChars="200"/>
        <w:rPr>
          <w:rFonts w:ascii="仿宋_GB2312" w:eastAsia="仿宋_GB2312"/>
          <w:color w:val="auto"/>
          <w:sz w:val="32"/>
          <w:szCs w:val="32"/>
        </w:rPr>
      </w:pPr>
      <w:r>
        <w:rPr>
          <w:rFonts w:hint="eastAsia" w:ascii="黑体" w:eastAsia="黑体"/>
          <w:color w:val="auto"/>
          <w:sz w:val="32"/>
          <w:szCs w:val="32"/>
        </w:rPr>
        <w:t>第十</w:t>
      </w:r>
      <w:r>
        <w:rPr>
          <w:rFonts w:hint="eastAsia" w:ascii="黑体" w:eastAsia="黑体"/>
          <w:color w:val="auto"/>
          <w:sz w:val="32"/>
          <w:szCs w:val="32"/>
          <w:lang w:val="en-US" w:eastAsia="zh-CN"/>
        </w:rPr>
        <w:t>一</w:t>
      </w:r>
      <w:r>
        <w:rPr>
          <w:rFonts w:hint="eastAsia" w:ascii="黑体" w:eastAsia="黑体"/>
          <w:color w:val="auto"/>
          <w:sz w:val="32"/>
          <w:szCs w:val="32"/>
        </w:rPr>
        <w:t>条</w:t>
      </w:r>
      <w:r>
        <w:rPr>
          <w:rFonts w:hint="eastAsia" w:ascii="仿宋_GB2312" w:eastAsia="仿宋_GB2312"/>
          <w:color w:val="auto"/>
          <w:sz w:val="32"/>
          <w:szCs w:val="32"/>
        </w:rPr>
        <w:t xml:space="preserve">  村民住宅的</w:t>
      </w:r>
      <w:r>
        <w:rPr>
          <w:rFonts w:hint="eastAsia" w:ascii="仿宋_GB2312" w:eastAsia="仿宋_GB2312"/>
          <w:color w:val="auto"/>
          <w:sz w:val="32"/>
          <w:szCs w:val="32"/>
          <w:lang w:val="en-US" w:eastAsia="zh-CN"/>
        </w:rPr>
        <w:t>补偿</w:t>
      </w:r>
      <w:r>
        <w:rPr>
          <w:rFonts w:hint="eastAsia" w:ascii="仿宋_GB2312" w:eastAsia="仿宋_GB2312"/>
          <w:color w:val="auto"/>
          <w:sz w:val="32"/>
          <w:szCs w:val="32"/>
        </w:rPr>
        <w:t>标准</w:t>
      </w:r>
    </w:p>
    <w:p>
      <w:pPr>
        <w:spacing w:line="560" w:lineRule="exact"/>
        <w:ind w:firstLine="632" w:firstLineChars="200"/>
        <w:rPr>
          <w:rFonts w:ascii="楷体_GB2312" w:eastAsia="楷体_GB2312"/>
          <w:color w:val="auto"/>
          <w:sz w:val="32"/>
          <w:szCs w:val="32"/>
        </w:rPr>
      </w:pPr>
      <w:r>
        <w:rPr>
          <w:rFonts w:hint="eastAsia" w:ascii="楷体_GB2312" w:eastAsia="楷体_GB2312"/>
          <w:color w:val="auto"/>
          <w:sz w:val="32"/>
          <w:szCs w:val="32"/>
        </w:rPr>
        <w:t>（一）房屋补偿标准</w:t>
      </w:r>
      <w:r>
        <w:rPr>
          <w:rFonts w:hint="eastAsia" w:ascii="仿宋_GB2312" w:hAnsi="仿宋_GB2312" w:eastAsia="仿宋_GB2312"/>
          <w:color w:val="auto"/>
          <w:sz w:val="32"/>
          <w:shd w:val="clear" w:color="auto" w:fill="FFFFFF"/>
        </w:rPr>
        <w:t>：</w:t>
      </w:r>
    </w:p>
    <w:p>
      <w:pPr>
        <w:shd w:val="solid" w:color="FFFFFF" w:fill="auto"/>
        <w:autoSpaceDN w:val="0"/>
        <w:spacing w:line="560" w:lineRule="exact"/>
        <w:ind w:firstLine="640"/>
        <w:jc w:val="left"/>
        <w:rPr>
          <w:rFonts w:ascii="仿宋_GB2312" w:hAnsi="仿宋_GB2312" w:eastAsia="仿宋_GB2312"/>
          <w:color w:val="auto"/>
          <w:sz w:val="32"/>
        </w:rPr>
      </w:pPr>
      <w:r>
        <w:rPr>
          <w:rFonts w:ascii="仿宋_GB2312" w:hAnsi="仿宋_GB2312" w:eastAsia="仿宋_GB2312"/>
          <w:color w:val="auto"/>
          <w:sz w:val="32"/>
        </w:rPr>
        <w:t>1</w:t>
      </w:r>
      <w:r>
        <w:rPr>
          <w:rFonts w:hint="eastAsia" w:ascii="仿宋_GB2312" w:hAnsi="仿宋_GB2312" w:eastAsia="仿宋_GB2312"/>
          <w:color w:val="auto"/>
          <w:sz w:val="32"/>
        </w:rPr>
        <w:t>、</w:t>
      </w:r>
      <w:r>
        <w:rPr>
          <w:rFonts w:ascii="仿宋_GB2312" w:hAnsi="仿宋_GB2312" w:eastAsia="仿宋_GB2312"/>
          <w:color w:val="auto"/>
          <w:sz w:val="32"/>
        </w:rPr>
        <w:t>框架结构房屋：</w:t>
      </w:r>
      <w:r>
        <w:rPr>
          <w:rFonts w:ascii="仿宋_GB2312" w:hAnsi="仿宋_GB2312" w:eastAsia="仿宋_GB2312"/>
          <w:b w:val="0"/>
          <w:bCs w:val="0"/>
          <w:color w:val="auto"/>
          <w:sz w:val="32"/>
        </w:rPr>
        <w:t>一等每平方米</w:t>
      </w:r>
      <w:r>
        <w:rPr>
          <w:rFonts w:hint="eastAsia" w:ascii="仿宋_GB2312" w:hAnsi="仿宋_GB2312" w:eastAsia="仿宋_GB2312"/>
          <w:b w:val="0"/>
          <w:bCs w:val="0"/>
          <w:color w:val="auto"/>
          <w:sz w:val="32"/>
        </w:rPr>
        <w:t>2950</w:t>
      </w:r>
      <w:r>
        <w:rPr>
          <w:rFonts w:ascii="仿宋_GB2312" w:hAnsi="仿宋_GB2312" w:eastAsia="仿宋_GB2312"/>
          <w:b w:val="0"/>
          <w:bCs w:val="0"/>
          <w:color w:val="auto"/>
          <w:sz w:val="32"/>
        </w:rPr>
        <w:t>元，二等每平方米</w:t>
      </w:r>
      <w:r>
        <w:rPr>
          <w:rFonts w:hint="eastAsia" w:ascii="仿宋_GB2312" w:hAnsi="仿宋_GB2312" w:eastAsia="仿宋_GB2312"/>
          <w:b w:val="0"/>
          <w:bCs w:val="0"/>
          <w:color w:val="auto"/>
          <w:sz w:val="32"/>
        </w:rPr>
        <w:t>2850</w:t>
      </w:r>
      <w:r>
        <w:rPr>
          <w:rFonts w:ascii="仿宋_GB2312" w:hAnsi="仿宋_GB2312" w:eastAsia="仿宋_GB2312"/>
          <w:b w:val="0"/>
          <w:bCs w:val="0"/>
          <w:color w:val="auto"/>
          <w:sz w:val="32"/>
        </w:rPr>
        <w:t>元，三等每平方米</w:t>
      </w:r>
      <w:r>
        <w:rPr>
          <w:rFonts w:hint="eastAsia" w:ascii="仿宋_GB2312" w:hAnsi="仿宋_GB2312" w:eastAsia="仿宋_GB2312"/>
          <w:b w:val="0"/>
          <w:bCs w:val="0"/>
          <w:color w:val="auto"/>
          <w:sz w:val="32"/>
        </w:rPr>
        <w:t>2650</w:t>
      </w:r>
      <w:r>
        <w:rPr>
          <w:rFonts w:ascii="仿宋_GB2312" w:hAnsi="仿宋_GB2312" w:eastAsia="仿宋_GB2312"/>
          <w:b w:val="0"/>
          <w:bCs w:val="0"/>
          <w:color w:val="auto"/>
          <w:sz w:val="32"/>
        </w:rPr>
        <w:t>元</w:t>
      </w:r>
      <w:r>
        <w:rPr>
          <w:rFonts w:hint="eastAsia" w:ascii="仿宋_GB2312" w:hAnsi="仿宋_GB2312" w:eastAsia="仿宋_GB2312"/>
          <w:b w:val="0"/>
          <w:bCs w:val="0"/>
          <w:color w:val="auto"/>
          <w:sz w:val="32"/>
        </w:rPr>
        <w:t>，四等每平方米2300元，五等每平方米1900元</w:t>
      </w:r>
      <w:r>
        <w:rPr>
          <w:rFonts w:ascii="仿宋_GB2312" w:hAnsi="仿宋_GB2312" w:eastAsia="仿宋_GB2312"/>
          <w:b w:val="0"/>
          <w:bCs w:val="0"/>
          <w:color w:val="auto"/>
          <w:sz w:val="32"/>
        </w:rPr>
        <w:t>；</w:t>
      </w:r>
    </w:p>
    <w:p>
      <w:pPr>
        <w:shd w:val="solid" w:color="FFFFFF" w:fill="auto"/>
        <w:autoSpaceDN w:val="0"/>
        <w:spacing w:line="560" w:lineRule="exact"/>
        <w:ind w:firstLine="640"/>
        <w:jc w:val="left"/>
        <w:rPr>
          <w:rFonts w:ascii="仿宋_GB2312" w:hAnsi="仿宋_GB2312" w:eastAsia="仿宋_GB2312"/>
          <w:b w:val="0"/>
          <w:bCs w:val="0"/>
          <w:color w:val="auto"/>
          <w:sz w:val="32"/>
        </w:rPr>
      </w:pPr>
      <w:r>
        <w:rPr>
          <w:rFonts w:hint="eastAsia" w:ascii="仿宋_GB2312" w:hAnsi="仿宋_GB2312" w:eastAsia="仿宋_GB2312"/>
          <w:color w:val="auto"/>
          <w:sz w:val="32"/>
        </w:rPr>
        <w:t>2、混合</w:t>
      </w:r>
      <w:r>
        <w:rPr>
          <w:rFonts w:ascii="仿宋_GB2312" w:hAnsi="仿宋_GB2312" w:eastAsia="仿宋_GB2312"/>
          <w:color w:val="auto"/>
          <w:sz w:val="32"/>
        </w:rPr>
        <w:t>结构房屋：</w:t>
      </w:r>
      <w:r>
        <w:rPr>
          <w:rFonts w:ascii="仿宋_GB2312" w:hAnsi="仿宋_GB2312" w:eastAsia="仿宋_GB2312"/>
          <w:b w:val="0"/>
          <w:bCs w:val="0"/>
          <w:color w:val="auto"/>
          <w:sz w:val="32"/>
        </w:rPr>
        <w:t>一等每平方米</w:t>
      </w:r>
      <w:r>
        <w:rPr>
          <w:rFonts w:hint="eastAsia" w:ascii="仿宋_GB2312" w:hAnsi="仿宋_GB2312" w:eastAsia="仿宋_GB2312"/>
          <w:b w:val="0"/>
          <w:bCs w:val="0"/>
          <w:color w:val="auto"/>
          <w:sz w:val="32"/>
        </w:rPr>
        <w:t>2850</w:t>
      </w:r>
      <w:r>
        <w:rPr>
          <w:rFonts w:ascii="仿宋_GB2312" w:hAnsi="仿宋_GB2312" w:eastAsia="仿宋_GB2312"/>
          <w:b w:val="0"/>
          <w:bCs w:val="0"/>
          <w:color w:val="auto"/>
          <w:sz w:val="32"/>
        </w:rPr>
        <w:t>元，二等每平方米</w:t>
      </w:r>
      <w:r>
        <w:rPr>
          <w:rFonts w:hint="eastAsia" w:ascii="仿宋_GB2312" w:hAnsi="仿宋_GB2312" w:eastAsia="仿宋_GB2312"/>
          <w:b w:val="0"/>
          <w:bCs w:val="0"/>
          <w:color w:val="auto"/>
          <w:sz w:val="32"/>
        </w:rPr>
        <w:t>2750</w:t>
      </w:r>
      <w:r>
        <w:rPr>
          <w:rFonts w:ascii="仿宋_GB2312" w:hAnsi="仿宋_GB2312" w:eastAsia="仿宋_GB2312"/>
          <w:b w:val="0"/>
          <w:bCs w:val="0"/>
          <w:color w:val="auto"/>
          <w:sz w:val="32"/>
        </w:rPr>
        <w:t>元，三等每平方米</w:t>
      </w:r>
      <w:r>
        <w:rPr>
          <w:rFonts w:hint="eastAsia" w:ascii="仿宋_GB2312" w:hAnsi="仿宋_GB2312" w:eastAsia="仿宋_GB2312"/>
          <w:b w:val="0"/>
          <w:bCs w:val="0"/>
          <w:color w:val="auto"/>
          <w:sz w:val="32"/>
        </w:rPr>
        <w:t>2550</w:t>
      </w:r>
      <w:r>
        <w:rPr>
          <w:rFonts w:ascii="仿宋_GB2312" w:hAnsi="仿宋_GB2312" w:eastAsia="仿宋_GB2312"/>
          <w:b w:val="0"/>
          <w:bCs w:val="0"/>
          <w:color w:val="auto"/>
          <w:sz w:val="32"/>
        </w:rPr>
        <w:t>元</w:t>
      </w:r>
      <w:r>
        <w:rPr>
          <w:rFonts w:hint="eastAsia" w:ascii="仿宋_GB2312" w:hAnsi="仿宋_GB2312" w:eastAsia="仿宋_GB2312"/>
          <w:b w:val="0"/>
          <w:bCs w:val="0"/>
          <w:color w:val="auto"/>
          <w:sz w:val="32"/>
        </w:rPr>
        <w:t>，四等每平方米2200元；</w:t>
      </w:r>
    </w:p>
    <w:p>
      <w:pPr>
        <w:shd w:val="solid" w:color="FFFFFF" w:fill="auto"/>
        <w:autoSpaceDN w:val="0"/>
        <w:spacing w:line="560" w:lineRule="exact"/>
        <w:ind w:firstLine="640"/>
        <w:jc w:val="left"/>
        <w:rPr>
          <w:rFonts w:ascii="仿宋_GB2312" w:hAnsi="仿宋_GB2312" w:eastAsia="仿宋_GB2312"/>
          <w:color w:val="auto"/>
          <w:sz w:val="32"/>
        </w:rPr>
      </w:pPr>
      <w:r>
        <w:rPr>
          <w:rFonts w:hint="eastAsia" w:ascii="仿宋_GB2312" w:hAnsi="仿宋_GB2312" w:eastAsia="仿宋_GB2312"/>
          <w:color w:val="auto"/>
          <w:sz w:val="32"/>
        </w:rPr>
        <w:t>3、砖木结构房屋：</w:t>
      </w:r>
    </w:p>
    <w:p>
      <w:pPr>
        <w:shd w:val="solid" w:color="FFFFFF" w:fill="auto"/>
        <w:autoSpaceDN w:val="0"/>
        <w:spacing w:line="560" w:lineRule="exact"/>
        <w:ind w:firstLine="640"/>
        <w:jc w:val="left"/>
        <w:rPr>
          <w:rFonts w:ascii="仿宋_GB2312" w:hAnsi="仿宋_GB2312" w:eastAsia="仿宋_GB2312"/>
          <w:b w:val="0"/>
          <w:bCs w:val="0"/>
          <w:color w:val="auto"/>
          <w:sz w:val="32"/>
        </w:rPr>
      </w:pPr>
      <w:r>
        <w:rPr>
          <w:rFonts w:hint="eastAsia" w:ascii="仿宋_GB2312" w:hAnsi="仿宋_GB2312" w:eastAsia="仿宋_GB2312"/>
          <w:color w:val="auto"/>
          <w:sz w:val="32"/>
        </w:rPr>
        <w:t>（1）红砖</w:t>
      </w:r>
      <w:r>
        <w:rPr>
          <w:rFonts w:hint="eastAsia" w:ascii="仿宋_GB2312" w:hAnsi="仿宋_GB2312" w:eastAsia="仿宋_GB2312"/>
          <w:b w:val="0"/>
          <w:bCs w:val="0"/>
          <w:color w:val="auto"/>
          <w:sz w:val="32"/>
        </w:rPr>
        <w:t>、水泥砖、灰砂砖等砖瓦房：</w:t>
      </w:r>
      <w:r>
        <w:rPr>
          <w:rFonts w:ascii="仿宋_GB2312" w:hAnsi="仿宋_GB2312" w:eastAsia="仿宋_GB2312"/>
          <w:b w:val="0"/>
          <w:bCs w:val="0"/>
          <w:color w:val="auto"/>
          <w:sz w:val="32"/>
        </w:rPr>
        <w:t>一等每平方米</w:t>
      </w:r>
      <w:r>
        <w:rPr>
          <w:rFonts w:hint="eastAsia" w:ascii="仿宋_GB2312" w:hAnsi="仿宋_GB2312" w:eastAsia="仿宋_GB2312"/>
          <w:b w:val="0"/>
          <w:bCs w:val="0"/>
          <w:color w:val="auto"/>
          <w:sz w:val="32"/>
        </w:rPr>
        <w:t>2000</w:t>
      </w:r>
      <w:r>
        <w:rPr>
          <w:rFonts w:ascii="仿宋_GB2312" w:hAnsi="仿宋_GB2312" w:eastAsia="仿宋_GB2312"/>
          <w:b w:val="0"/>
          <w:bCs w:val="0"/>
          <w:color w:val="auto"/>
          <w:sz w:val="32"/>
        </w:rPr>
        <w:t>元，二等每平方米</w:t>
      </w:r>
      <w:r>
        <w:rPr>
          <w:rFonts w:hint="eastAsia" w:ascii="仿宋_GB2312" w:hAnsi="仿宋_GB2312" w:eastAsia="仿宋_GB2312"/>
          <w:b w:val="0"/>
          <w:bCs w:val="0"/>
          <w:color w:val="auto"/>
          <w:sz w:val="32"/>
        </w:rPr>
        <w:t>1800元</w:t>
      </w:r>
      <w:r>
        <w:rPr>
          <w:rFonts w:ascii="仿宋_GB2312" w:hAnsi="仿宋_GB2312" w:eastAsia="仿宋_GB2312"/>
          <w:b w:val="0"/>
          <w:bCs w:val="0"/>
          <w:color w:val="auto"/>
          <w:sz w:val="32"/>
        </w:rPr>
        <w:t>，三等每平方米</w:t>
      </w:r>
      <w:r>
        <w:rPr>
          <w:rFonts w:hint="eastAsia" w:ascii="仿宋_GB2312" w:hAnsi="仿宋_GB2312" w:eastAsia="仿宋_GB2312"/>
          <w:b w:val="0"/>
          <w:bCs w:val="0"/>
          <w:color w:val="auto"/>
          <w:sz w:val="32"/>
        </w:rPr>
        <w:t>1700元；</w:t>
      </w:r>
    </w:p>
    <w:p>
      <w:pPr>
        <w:numPr>
          <w:ilvl w:val="0"/>
          <w:numId w:val="1"/>
        </w:numPr>
        <w:shd w:val="solid" w:color="FFFFFF" w:fill="auto"/>
        <w:autoSpaceDN w:val="0"/>
        <w:spacing w:line="560" w:lineRule="exact"/>
        <w:ind w:firstLine="640"/>
        <w:jc w:val="left"/>
        <w:rPr>
          <w:rFonts w:ascii="仿宋_GB2312" w:hAnsi="仿宋_GB2312" w:eastAsia="仿宋_GB2312"/>
          <w:b w:val="0"/>
          <w:bCs w:val="0"/>
          <w:color w:val="auto"/>
          <w:sz w:val="32"/>
        </w:rPr>
      </w:pPr>
      <w:r>
        <w:rPr>
          <w:rFonts w:hint="eastAsia" w:ascii="仿宋_GB2312" w:hAnsi="仿宋_GB2312" w:eastAsia="仿宋_GB2312"/>
          <w:b w:val="0"/>
          <w:bCs w:val="0"/>
          <w:color w:val="auto"/>
          <w:sz w:val="32"/>
        </w:rPr>
        <w:t>泥砖瓦房：</w:t>
      </w:r>
      <w:r>
        <w:rPr>
          <w:rFonts w:ascii="仿宋_GB2312" w:hAnsi="仿宋_GB2312" w:eastAsia="仿宋_GB2312"/>
          <w:b w:val="0"/>
          <w:bCs w:val="0"/>
          <w:color w:val="auto"/>
          <w:sz w:val="32"/>
        </w:rPr>
        <w:t>一等每平方米</w:t>
      </w:r>
      <w:r>
        <w:rPr>
          <w:rFonts w:hint="eastAsia" w:ascii="仿宋_GB2312" w:hAnsi="仿宋_GB2312" w:eastAsia="仿宋_GB2312"/>
          <w:b w:val="0"/>
          <w:bCs w:val="0"/>
          <w:color w:val="auto"/>
          <w:sz w:val="32"/>
        </w:rPr>
        <w:t>1900元</w:t>
      </w:r>
      <w:r>
        <w:rPr>
          <w:rFonts w:ascii="仿宋_GB2312" w:hAnsi="仿宋_GB2312" w:eastAsia="仿宋_GB2312"/>
          <w:b w:val="0"/>
          <w:bCs w:val="0"/>
          <w:color w:val="auto"/>
          <w:sz w:val="32"/>
        </w:rPr>
        <w:t>，二等每平方米</w:t>
      </w:r>
      <w:r>
        <w:rPr>
          <w:rFonts w:hint="eastAsia" w:ascii="仿宋_GB2312" w:hAnsi="仿宋_GB2312" w:eastAsia="仿宋_GB2312"/>
          <w:b w:val="0"/>
          <w:bCs w:val="0"/>
          <w:color w:val="auto"/>
          <w:sz w:val="32"/>
        </w:rPr>
        <w:t>1700元</w:t>
      </w:r>
      <w:r>
        <w:rPr>
          <w:rFonts w:ascii="仿宋_GB2312" w:hAnsi="仿宋_GB2312" w:eastAsia="仿宋_GB2312"/>
          <w:b w:val="0"/>
          <w:bCs w:val="0"/>
          <w:color w:val="auto"/>
          <w:sz w:val="32"/>
        </w:rPr>
        <w:t>，三等每平方米</w:t>
      </w:r>
      <w:r>
        <w:rPr>
          <w:rFonts w:hint="eastAsia" w:ascii="仿宋_GB2312" w:hAnsi="仿宋_GB2312" w:eastAsia="仿宋_GB2312"/>
          <w:b w:val="0"/>
          <w:bCs w:val="0"/>
          <w:color w:val="auto"/>
          <w:sz w:val="32"/>
        </w:rPr>
        <w:t>1400元</w:t>
      </w:r>
      <w:r>
        <w:rPr>
          <w:rFonts w:ascii="仿宋_GB2312" w:hAnsi="仿宋_GB2312" w:eastAsia="仿宋_GB2312"/>
          <w:b w:val="0"/>
          <w:bCs w:val="0"/>
          <w:color w:val="auto"/>
          <w:sz w:val="32"/>
        </w:rPr>
        <w:t>。</w:t>
      </w:r>
    </w:p>
    <w:p>
      <w:pPr>
        <w:spacing w:line="560" w:lineRule="exact"/>
        <w:ind w:firstLine="632" w:firstLineChars="200"/>
        <w:rPr>
          <w:rFonts w:ascii="楷体_GB2312" w:eastAsia="楷体_GB2312"/>
          <w:color w:val="auto"/>
          <w:sz w:val="32"/>
          <w:szCs w:val="32"/>
        </w:rPr>
      </w:pPr>
      <w:r>
        <w:rPr>
          <w:rFonts w:ascii="仿宋_GB2312" w:hAnsi="仿宋_GB2312" w:eastAsia="仿宋_GB2312"/>
          <w:color w:val="auto"/>
          <w:sz w:val="32"/>
        </w:rPr>
        <w:t>上述各类房屋的基础、屋内建筑和普通装修部分，如浴室、卫生间、石膏天花、宝丽板墙裙、水电设施等，均已计入各种房屋的补偿内，不另作补偿</w:t>
      </w:r>
      <w:r>
        <w:rPr>
          <w:rFonts w:hint="eastAsia" w:ascii="仿宋_GB2312" w:hAnsi="仿宋_GB2312" w:eastAsia="仿宋_GB2312"/>
          <w:color w:val="auto"/>
          <w:sz w:val="32"/>
        </w:rPr>
        <w:t>（详见附件）</w:t>
      </w:r>
      <w:r>
        <w:rPr>
          <w:rFonts w:ascii="仿宋_GB2312" w:hAnsi="仿宋_GB2312" w:eastAsia="仿宋_GB2312"/>
          <w:color w:val="auto"/>
          <w:sz w:val="32"/>
        </w:rPr>
        <w:t>。</w:t>
      </w:r>
    </w:p>
    <w:p>
      <w:pPr>
        <w:spacing w:line="560" w:lineRule="exact"/>
        <w:ind w:left="640"/>
        <w:rPr>
          <w:rFonts w:ascii="楷体_GB2312" w:eastAsia="楷体_GB2312"/>
          <w:color w:val="auto"/>
          <w:sz w:val="32"/>
          <w:szCs w:val="32"/>
        </w:rPr>
      </w:pPr>
      <w:r>
        <w:rPr>
          <w:rFonts w:hint="eastAsia" w:ascii="楷体_GB2312" w:eastAsia="楷体_GB2312"/>
          <w:color w:val="auto"/>
          <w:sz w:val="32"/>
          <w:szCs w:val="32"/>
        </w:rPr>
        <w:t>（二）附属物补偿标准</w:t>
      </w:r>
    </w:p>
    <w:p>
      <w:pPr>
        <w:shd w:val="solid" w:color="FFFFFF" w:fill="auto"/>
        <w:autoSpaceDN w:val="0"/>
        <w:spacing w:line="540" w:lineRule="exact"/>
        <w:ind w:firstLine="790" w:firstLineChars="250"/>
        <w:jc w:val="left"/>
        <w:rPr>
          <w:rFonts w:ascii="仿宋_GB2312" w:hAnsi="仿宋_GB2312" w:eastAsia="仿宋_GB2312"/>
          <w:color w:val="auto"/>
          <w:sz w:val="32"/>
          <w:shd w:val="clear" w:color="auto" w:fill="FFFFFF"/>
        </w:rPr>
      </w:pPr>
      <w:r>
        <w:rPr>
          <w:rFonts w:ascii="仿宋_GB2312" w:hAnsi="仿宋_GB2312" w:eastAsia="仿宋_GB2312"/>
          <w:color w:val="auto"/>
          <w:sz w:val="32"/>
          <w:shd w:val="clear" w:color="auto" w:fill="FFFFFF"/>
        </w:rPr>
        <w:t>附属物</w:t>
      </w:r>
      <w:r>
        <w:rPr>
          <w:rFonts w:hint="eastAsia" w:ascii="仿宋_GB2312" w:hAnsi="仿宋_GB2312" w:eastAsia="仿宋_GB2312"/>
          <w:color w:val="auto"/>
          <w:sz w:val="32"/>
          <w:shd w:val="clear" w:color="auto" w:fill="FFFFFF"/>
        </w:rPr>
        <w:t>的</w:t>
      </w:r>
      <w:r>
        <w:rPr>
          <w:rFonts w:ascii="仿宋_GB2312" w:hAnsi="仿宋_GB2312" w:eastAsia="仿宋_GB2312"/>
          <w:color w:val="auto"/>
          <w:sz w:val="32"/>
          <w:shd w:val="clear" w:color="auto" w:fill="FFFFFF"/>
        </w:rPr>
        <w:t>补偿</w:t>
      </w:r>
      <w:r>
        <w:rPr>
          <w:rFonts w:hint="eastAsia" w:ascii="仿宋_GB2312" w:hAnsi="仿宋_GB2312" w:eastAsia="仿宋_GB2312"/>
          <w:color w:val="auto"/>
          <w:sz w:val="32"/>
          <w:shd w:val="clear" w:color="auto" w:fill="FFFFFF"/>
        </w:rPr>
        <w:t>参照</w:t>
      </w:r>
      <w:r>
        <w:rPr>
          <w:rFonts w:ascii="仿宋_GB2312" w:hAnsi="仿宋_GB2312" w:eastAsia="仿宋_GB2312"/>
          <w:color w:val="auto"/>
          <w:sz w:val="32"/>
          <w:shd w:val="clear" w:color="auto" w:fill="FFFFFF"/>
        </w:rPr>
        <w:t>惠府</w:t>
      </w:r>
      <w:r>
        <w:rPr>
          <w:rFonts w:hint="eastAsia" w:ascii="仿宋_GB2312" w:hAnsi="仿宋_GB2312" w:eastAsia="仿宋_GB2312"/>
          <w:color w:val="auto"/>
          <w:sz w:val="32"/>
          <w:shd w:val="clear" w:color="auto" w:fill="FFFFFF"/>
        </w:rPr>
        <w:t xml:space="preserve">〔2021〕27 </w:t>
      </w:r>
      <w:r>
        <w:rPr>
          <w:rFonts w:ascii="仿宋_GB2312" w:hAnsi="仿宋_GB2312" w:eastAsia="仿宋_GB2312"/>
          <w:color w:val="auto"/>
          <w:sz w:val="32"/>
          <w:shd w:val="clear" w:color="auto" w:fill="FFFFFF"/>
        </w:rPr>
        <w:t>号</w:t>
      </w:r>
      <w:r>
        <w:rPr>
          <w:rFonts w:hint="eastAsia" w:ascii="仿宋_GB2312" w:hAnsi="仿宋_GB2312" w:eastAsia="仿宋_GB2312"/>
          <w:color w:val="auto"/>
          <w:sz w:val="32"/>
          <w:shd w:val="clear" w:color="auto" w:fill="FFFFFF"/>
        </w:rPr>
        <w:t>规定的标准执行。</w:t>
      </w:r>
    </w:p>
    <w:p>
      <w:pPr>
        <w:spacing w:line="560" w:lineRule="exact"/>
        <w:ind w:firstLine="632" w:firstLineChars="200"/>
        <w:rPr>
          <w:rFonts w:ascii="仿宋_GB2312" w:eastAsia="仿宋_GB2312"/>
          <w:color w:val="auto"/>
          <w:sz w:val="32"/>
          <w:szCs w:val="32"/>
        </w:rPr>
      </w:pPr>
      <w:r>
        <w:rPr>
          <w:rFonts w:hint="eastAsia" w:ascii="黑体" w:eastAsia="黑体"/>
          <w:color w:val="auto"/>
          <w:sz w:val="32"/>
          <w:szCs w:val="32"/>
        </w:rPr>
        <w:t>第十</w:t>
      </w:r>
      <w:r>
        <w:rPr>
          <w:rFonts w:hint="eastAsia" w:ascii="黑体" w:eastAsia="黑体"/>
          <w:color w:val="auto"/>
          <w:sz w:val="32"/>
          <w:szCs w:val="32"/>
          <w:lang w:val="en-US" w:eastAsia="zh-CN"/>
        </w:rPr>
        <w:t>二</w:t>
      </w:r>
      <w:r>
        <w:rPr>
          <w:rFonts w:hint="eastAsia" w:ascii="黑体" w:eastAsia="黑体"/>
          <w:color w:val="auto"/>
          <w:sz w:val="32"/>
          <w:szCs w:val="32"/>
        </w:rPr>
        <w:t>条</w:t>
      </w:r>
      <w:r>
        <w:rPr>
          <w:rFonts w:hint="eastAsia" w:ascii="仿宋_GB2312" w:eastAsia="仿宋_GB2312"/>
          <w:color w:val="auto"/>
          <w:sz w:val="32"/>
          <w:szCs w:val="32"/>
        </w:rPr>
        <w:t xml:space="preserve">  政策性补助</w:t>
      </w:r>
    </w:p>
    <w:p>
      <w:pPr>
        <w:spacing w:line="560" w:lineRule="exact"/>
        <w:ind w:firstLine="640"/>
        <w:rPr>
          <w:rFonts w:ascii="仿宋_GB2312" w:hAnsi="仿宋_GB2312" w:eastAsia="仿宋_GB2312" w:cs="仿宋_GB2312"/>
          <w:color w:val="auto"/>
          <w:sz w:val="32"/>
          <w:szCs w:val="32"/>
        </w:rPr>
      </w:pPr>
      <w:r>
        <w:rPr>
          <w:rFonts w:hint="eastAsia" w:ascii="楷体_GB2312" w:eastAsia="楷体_GB2312"/>
          <w:color w:val="auto"/>
          <w:sz w:val="32"/>
          <w:szCs w:val="32"/>
        </w:rPr>
        <w:t>（一）搬迁补助费。</w:t>
      </w:r>
      <w:r>
        <w:rPr>
          <w:rFonts w:hint="eastAsia" w:ascii="仿宋_GB2312" w:hAnsi="仿宋_GB2312" w:eastAsia="仿宋_GB2312" w:cs="仿宋_GB2312"/>
          <w:color w:val="auto"/>
          <w:sz w:val="32"/>
          <w:szCs w:val="32"/>
        </w:rPr>
        <w:t>搬迁补助费按村民住宅建筑面积计算，每平方米补助15元，每户不足1500元的按1500元补助；需要二次搬迁的，按照相同标准给予二次搬迁补助费。</w:t>
      </w:r>
    </w:p>
    <w:p>
      <w:pPr>
        <w:shd w:val="solid" w:color="FFFFFF" w:fill="auto"/>
        <w:autoSpaceDN w:val="0"/>
        <w:spacing w:line="560" w:lineRule="exact"/>
        <w:ind w:firstLine="640"/>
        <w:jc w:val="left"/>
        <w:rPr>
          <w:rFonts w:hint="eastAsia" w:ascii="楷体_GB2312" w:hAnsi="仿宋_GB2312" w:eastAsia="楷体_GB2312" w:cs="仿宋_GB2312"/>
          <w:color w:val="auto"/>
          <w:sz w:val="32"/>
          <w:shd w:val="clear" w:color="auto" w:fill="FFFFFF"/>
          <w:lang w:eastAsia="zh-CN"/>
        </w:rPr>
      </w:pPr>
      <w:r>
        <w:rPr>
          <w:rFonts w:hint="eastAsia" w:ascii="楷体_GB2312" w:hAnsi="仿宋_GB2312" w:eastAsia="楷体_GB2312" w:cs="仿宋_GB2312"/>
          <w:color w:val="auto"/>
          <w:sz w:val="32"/>
          <w:shd w:val="clear" w:color="auto" w:fill="FFFFFF"/>
        </w:rPr>
        <w:t>（二）户籍在册安置户安置对象的过渡期生活补助、生活补助</w:t>
      </w:r>
      <w:r>
        <w:rPr>
          <w:rFonts w:hint="eastAsia" w:ascii="楷体_GB2312" w:hAnsi="仿宋_GB2312" w:eastAsia="楷体_GB2312" w:cs="仿宋_GB2312"/>
          <w:color w:val="auto"/>
          <w:sz w:val="32"/>
          <w:shd w:val="clear" w:color="auto" w:fill="FFFFFF"/>
          <w:lang w:eastAsia="zh-CN"/>
        </w:rPr>
        <w:t>。</w:t>
      </w:r>
    </w:p>
    <w:p>
      <w:pPr>
        <w:shd w:val="solid" w:color="FFFFFF" w:fill="auto"/>
        <w:autoSpaceDN w:val="0"/>
        <w:spacing w:line="560" w:lineRule="exact"/>
        <w:ind w:firstLine="640"/>
        <w:jc w:val="left"/>
        <w:rPr>
          <w:rFonts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hd w:val="clear" w:color="auto" w:fill="FFFFFF"/>
        </w:rPr>
        <w:t>1.过渡期生活补助按900元/人·月的标准补助，从签订协议并腾空房屋之日起计发3年（36个月），每年发放一次。</w:t>
      </w:r>
    </w:p>
    <w:p>
      <w:pPr>
        <w:shd w:val="solid" w:color="FFFFFF" w:fill="auto"/>
        <w:autoSpaceDN w:val="0"/>
        <w:spacing w:line="560" w:lineRule="exact"/>
        <w:ind w:firstLine="640"/>
        <w:jc w:val="left"/>
        <w:rPr>
          <w:rFonts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hd w:val="clear" w:color="auto" w:fill="FFFFFF"/>
        </w:rPr>
        <w:t>2.生活补助按900元/人·月的标准补助，从过渡期满后计发2年（24个月），每年发放一次。</w:t>
      </w:r>
    </w:p>
    <w:p>
      <w:pPr>
        <w:shd w:val="solid" w:color="FFFFFF" w:fill="auto"/>
        <w:autoSpaceDN w:val="0"/>
        <w:spacing w:line="560" w:lineRule="exact"/>
        <w:ind w:firstLine="640"/>
        <w:jc w:val="left"/>
        <w:rPr>
          <w:rFonts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hd w:val="clear" w:color="auto" w:fill="FFFFFF"/>
        </w:rPr>
        <w:t>如因政府原因，征收人未能按协议约定的时间交付安置房建设用地的，则过渡期生活补助期限顺延。</w:t>
      </w:r>
    </w:p>
    <w:p>
      <w:pPr>
        <w:shd w:val="solid" w:color="FFFFFF" w:fill="auto"/>
        <w:autoSpaceDN w:val="0"/>
        <w:spacing w:line="560" w:lineRule="exact"/>
        <w:ind w:firstLine="640"/>
        <w:jc w:val="left"/>
        <w:rPr>
          <w:rFonts w:ascii="仿宋_GB2312" w:hAnsi="仿宋_GB2312" w:eastAsia="仿宋_GB2312" w:cs="仿宋_GB2312"/>
          <w:color w:val="auto"/>
          <w:sz w:val="32"/>
          <w:shd w:val="clear" w:color="auto" w:fill="FFFFFF"/>
        </w:rPr>
      </w:pPr>
      <w:r>
        <w:rPr>
          <w:rFonts w:hint="eastAsia" w:ascii="楷体_GB2312" w:hAnsi="仿宋_GB2312" w:eastAsia="楷体_GB2312" w:cs="仿宋_GB2312"/>
          <w:color w:val="auto"/>
          <w:sz w:val="32"/>
          <w:shd w:val="clear" w:color="auto" w:fill="FFFFFF"/>
        </w:rPr>
        <w:t>（三）临时安置补助。</w:t>
      </w:r>
      <w:r>
        <w:rPr>
          <w:rFonts w:hint="eastAsia" w:ascii="仿宋_GB2312" w:hAnsi="仿宋_GB2312" w:eastAsia="仿宋_GB2312" w:cs="仿宋_GB2312"/>
          <w:color w:val="auto"/>
          <w:sz w:val="32"/>
          <w:shd w:val="clear" w:color="auto" w:fill="FFFFFF"/>
        </w:rPr>
        <w:t>户籍在册安置对象按1000元/（人·月）的标准补助；原籍外出户按2000元/（户·月）标准补助。补助期限为三年（即36个月），补助款自房屋腾空之日起计发，每年发放一次。</w:t>
      </w:r>
    </w:p>
    <w:p>
      <w:pPr>
        <w:shd w:val="solid" w:color="FFFFFF" w:fill="auto"/>
        <w:autoSpaceDN w:val="0"/>
        <w:spacing w:line="560" w:lineRule="exact"/>
        <w:ind w:firstLine="640"/>
        <w:jc w:val="left"/>
        <w:rPr>
          <w:rFonts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hd w:val="clear" w:color="auto" w:fill="FFFFFF"/>
        </w:rPr>
        <w:t>如因政府原因，征收人未能按协议约定的时间交付安置房建设用地的，则临时安置补助期限顺延。</w:t>
      </w:r>
    </w:p>
    <w:p>
      <w:pPr>
        <w:shd w:val="solid" w:color="FFFFFF" w:fill="auto"/>
        <w:autoSpaceDN w:val="0"/>
        <w:spacing w:line="560" w:lineRule="exact"/>
        <w:ind w:firstLine="632" w:firstLineChars="200"/>
        <w:jc w:val="left"/>
        <w:rPr>
          <w:rFonts w:ascii="黑体" w:hAnsi="黑体" w:eastAsia="黑体" w:cs="黑体"/>
          <w:color w:val="auto"/>
          <w:sz w:val="32"/>
        </w:rPr>
      </w:pPr>
      <w:r>
        <w:rPr>
          <w:rFonts w:hint="eastAsia" w:ascii="黑体" w:hAnsi="黑体" w:eastAsia="黑体" w:cs="黑体"/>
          <w:color w:val="auto"/>
          <w:sz w:val="32"/>
        </w:rPr>
        <w:t>第十</w:t>
      </w:r>
      <w:r>
        <w:rPr>
          <w:rFonts w:hint="eastAsia" w:ascii="黑体" w:hAnsi="黑体" w:eastAsia="黑体" w:cs="黑体"/>
          <w:color w:val="auto"/>
          <w:sz w:val="32"/>
          <w:lang w:val="en-US" w:eastAsia="zh-CN"/>
        </w:rPr>
        <w:t>三</w:t>
      </w:r>
      <w:r>
        <w:rPr>
          <w:rFonts w:hint="eastAsia" w:ascii="黑体" w:hAnsi="黑体" w:eastAsia="黑体" w:cs="黑体"/>
          <w:color w:val="auto"/>
          <w:sz w:val="32"/>
        </w:rPr>
        <w:t xml:space="preserve">条  </w:t>
      </w:r>
      <w:r>
        <w:rPr>
          <w:rFonts w:hint="eastAsia" w:ascii="仿宋_GB2312" w:hAnsi="仿宋_GB2312" w:eastAsia="仿宋_GB2312" w:cs="仿宋_GB2312"/>
          <w:color w:val="auto"/>
          <w:sz w:val="32"/>
          <w:shd w:val="clear" w:color="auto" w:fill="FFFFFF"/>
        </w:rPr>
        <w:t>一次性签约补助</w:t>
      </w:r>
    </w:p>
    <w:p>
      <w:pPr>
        <w:shd w:val="solid" w:color="FFFFFF" w:fill="auto"/>
        <w:autoSpaceDN w:val="0"/>
        <w:spacing w:line="560" w:lineRule="exact"/>
        <w:ind w:firstLine="640"/>
        <w:jc w:val="left"/>
        <w:rPr>
          <w:rFonts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hd w:val="clear" w:color="auto" w:fill="FFFFFF"/>
        </w:rPr>
        <w:t>自本方案公布之日起，村民住宅权利人在</w:t>
      </w:r>
      <w:r>
        <w:rPr>
          <w:rFonts w:hint="eastAsia" w:ascii="仿宋_GB2312" w:eastAsia="仿宋_GB2312"/>
          <w:color w:val="auto"/>
          <w:sz w:val="32"/>
          <w:szCs w:val="32"/>
        </w:rPr>
        <w:t>房屋征收签约时限</w:t>
      </w:r>
      <w:r>
        <w:rPr>
          <w:rFonts w:hint="eastAsia" w:ascii="仿宋_GB2312" w:hAnsi="仿宋_GB2312" w:eastAsia="仿宋_GB2312" w:cs="仿宋_GB2312"/>
          <w:color w:val="auto"/>
          <w:sz w:val="32"/>
          <w:shd w:val="clear" w:color="auto" w:fill="FFFFFF"/>
        </w:rPr>
        <w:t>内签订协议的，给予一次性签约补助。</w:t>
      </w:r>
    </w:p>
    <w:p>
      <w:pPr>
        <w:shd w:val="solid" w:color="FFFFFF" w:fill="auto"/>
        <w:autoSpaceDN w:val="0"/>
        <w:spacing w:line="560" w:lineRule="exact"/>
        <w:ind w:firstLine="640"/>
        <w:jc w:val="left"/>
        <w:rPr>
          <w:rFonts w:hint="eastAsia"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hd w:val="clear" w:color="auto" w:fill="FFFFFF"/>
        </w:rPr>
        <w:t>一次性签约补助按照村民住宅权利人住宅建筑面积计算，但每户住宅计算一次性签约补助的建筑面积不超过480平方米。每平方米补助金额为1200元/平方米（以区房管局提供为准）。未建成使用的住宅、附属用房（杂物间、牲畜舍、砖墙铁皮房、活动板房、简易房等）不给予一次性签约补助。</w:t>
      </w:r>
    </w:p>
    <w:p>
      <w:pPr>
        <w:shd w:val="solid" w:color="FFFFFF" w:fill="auto"/>
        <w:autoSpaceDN w:val="0"/>
        <w:spacing w:line="560" w:lineRule="exact"/>
        <w:ind w:firstLine="640"/>
        <w:jc w:val="left"/>
        <w:rPr>
          <w:rFonts w:hint="default" w:ascii="仿宋_GB2312" w:hAnsi="仿宋_GB2312" w:eastAsia="仿宋_GB2312" w:cs="仿宋_GB2312"/>
          <w:color w:val="auto"/>
          <w:sz w:val="32"/>
          <w:shd w:val="clear" w:color="auto" w:fill="FFFFFF"/>
          <w:lang w:val="en-US" w:eastAsia="zh-CN"/>
        </w:rPr>
      </w:pPr>
      <w:r>
        <w:rPr>
          <w:rFonts w:hint="eastAsia" w:ascii="仿宋_GB2312" w:eastAsia="仿宋_GB2312"/>
          <w:color w:val="auto"/>
          <w:sz w:val="32"/>
          <w:szCs w:val="32"/>
          <w:u w:val="none"/>
          <w:lang w:eastAsia="zh-CN"/>
        </w:rPr>
        <w:t>《</w:t>
      </w:r>
      <w:r>
        <w:rPr>
          <w:rFonts w:hint="eastAsia" w:ascii="仿宋_GB2312" w:eastAsia="仿宋_GB2312"/>
          <w:color w:val="auto"/>
          <w:sz w:val="32"/>
          <w:szCs w:val="32"/>
          <w:u w:val="none"/>
          <w:lang w:val="en-US" w:eastAsia="zh-CN"/>
        </w:rPr>
        <w:t>通告</w:t>
      </w:r>
      <w:r>
        <w:rPr>
          <w:rFonts w:hint="eastAsia" w:ascii="仿宋_GB2312" w:eastAsia="仿宋_GB2312"/>
          <w:color w:val="auto"/>
          <w:sz w:val="32"/>
          <w:szCs w:val="32"/>
          <w:u w:val="none"/>
          <w:lang w:eastAsia="zh-CN"/>
        </w:rPr>
        <w:t>》</w:t>
      </w:r>
      <w:r>
        <w:rPr>
          <w:rFonts w:hint="eastAsia" w:ascii="仿宋_GB2312" w:hAnsi="仿宋_GB2312" w:eastAsia="仿宋_GB2312" w:cs="仿宋_GB2312"/>
          <w:color w:val="auto"/>
          <w:sz w:val="32"/>
          <w:u w:val="none"/>
          <w:shd w:val="clear" w:color="auto" w:fill="FFFFFF"/>
        </w:rPr>
        <w:t>发布之前</w:t>
      </w:r>
      <w:r>
        <w:rPr>
          <w:rFonts w:hint="eastAsia" w:ascii="仿宋_GB2312" w:hAnsi="仿宋_GB2312" w:eastAsia="仿宋_GB2312" w:cs="仿宋_GB2312"/>
          <w:color w:val="auto"/>
          <w:sz w:val="32"/>
          <w:u w:val="none"/>
          <w:shd w:val="clear" w:color="auto" w:fill="FFFFFF"/>
          <w:lang w:val="en-US" w:eastAsia="zh-CN"/>
        </w:rPr>
        <w:t xml:space="preserve">未取得《不动产权证》（或《房屋所有权证》《房地产权证》等产权证）的不符合一户一宅但不属于违法用地、违法建设的村民其他房屋，不给予一次性签约补助和放弃安置房一次性奖励。支持和配合搬迁补偿的，房屋按照本方案第十一条予以补偿，搬迁补助费按照本方案第十二条予以补偿。 </w:t>
      </w:r>
    </w:p>
    <w:p>
      <w:pPr>
        <w:spacing w:line="560" w:lineRule="exact"/>
        <w:ind w:firstLine="632" w:firstLineChars="200"/>
        <w:rPr>
          <w:rFonts w:ascii="黑体" w:hAnsi="黑体" w:eastAsia="黑体" w:cs="黑体"/>
          <w:color w:val="auto"/>
          <w:sz w:val="32"/>
          <w:szCs w:val="32"/>
        </w:rPr>
      </w:pPr>
      <w:r>
        <w:rPr>
          <w:rFonts w:hint="eastAsia" w:ascii="黑体" w:eastAsia="黑体"/>
          <w:color w:val="auto"/>
          <w:sz w:val="32"/>
          <w:szCs w:val="32"/>
        </w:rPr>
        <w:t>第十</w:t>
      </w:r>
      <w:r>
        <w:rPr>
          <w:rFonts w:hint="eastAsia" w:ascii="黑体" w:eastAsia="黑体"/>
          <w:color w:val="auto"/>
          <w:sz w:val="32"/>
          <w:szCs w:val="32"/>
          <w:lang w:val="en-US" w:eastAsia="zh-CN"/>
        </w:rPr>
        <w:t>四</w:t>
      </w:r>
      <w:r>
        <w:rPr>
          <w:rFonts w:hint="eastAsia" w:ascii="黑体" w:eastAsia="黑体"/>
          <w:color w:val="auto"/>
          <w:sz w:val="32"/>
          <w:szCs w:val="32"/>
        </w:rPr>
        <w:t xml:space="preserve">条 </w:t>
      </w:r>
      <w:r>
        <w:rPr>
          <w:rFonts w:hint="eastAsia" w:ascii="仿宋" w:hAnsi="仿宋" w:eastAsia="仿宋" w:cs="仿宋"/>
          <w:color w:val="auto"/>
          <w:sz w:val="32"/>
          <w:szCs w:val="32"/>
        </w:rPr>
        <w:t xml:space="preserve"> </w:t>
      </w:r>
      <w:r>
        <w:rPr>
          <w:rFonts w:hint="eastAsia" w:ascii="仿宋_GB2312" w:hAnsi="仿宋_GB2312" w:eastAsia="仿宋_GB2312" w:cs="仿宋_GB2312"/>
          <w:color w:val="auto"/>
          <w:sz w:val="32"/>
          <w:u w:val="none"/>
          <w:shd w:val="clear" w:color="auto" w:fill="FFFFFF"/>
          <w:lang w:val="en-US" w:eastAsia="zh-CN"/>
        </w:rPr>
        <w:t>限时搬迁奖励</w:t>
      </w:r>
    </w:p>
    <w:p>
      <w:pPr>
        <w:shd w:val="solid" w:color="FFFFFF" w:fill="auto"/>
        <w:autoSpaceDN w:val="0"/>
        <w:spacing w:line="560" w:lineRule="exact"/>
        <w:ind w:firstLine="632" w:firstLineChars="200"/>
        <w:jc w:val="left"/>
        <w:rPr>
          <w:rFonts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hd w:val="clear" w:color="auto" w:fill="FFFFFF"/>
        </w:rPr>
        <w:t>自本方案公布之日起，安置对象在</w:t>
      </w:r>
      <w:r>
        <w:rPr>
          <w:rFonts w:hint="eastAsia" w:ascii="仿宋_GB2312" w:hAnsi="仿宋_GB2312" w:eastAsia="仿宋_GB2312" w:cs="仿宋_GB2312"/>
          <w:color w:val="auto"/>
          <w:sz w:val="32"/>
          <w:shd w:val="clear" w:color="auto" w:fill="FFFFFF"/>
          <w:lang w:val="en-US" w:eastAsia="zh-CN"/>
        </w:rPr>
        <w:t>规定期限</w:t>
      </w:r>
      <w:r>
        <w:rPr>
          <w:rFonts w:hint="eastAsia" w:ascii="仿宋_GB2312" w:hAnsi="仿宋_GB2312" w:eastAsia="仿宋_GB2312" w:cs="仿宋_GB2312"/>
          <w:color w:val="auto"/>
          <w:sz w:val="32"/>
          <w:shd w:val="clear" w:color="auto" w:fill="FFFFFF"/>
        </w:rPr>
        <w:t>内签订征收补偿协议并按协议规定时间搬迁腾空房屋的，给予以下奖励：</w:t>
      </w:r>
    </w:p>
    <w:p>
      <w:pPr>
        <w:shd w:val="solid" w:color="FFFFFF" w:fill="auto"/>
        <w:autoSpaceDN w:val="0"/>
        <w:spacing w:line="560" w:lineRule="exact"/>
        <w:ind w:firstLine="632" w:firstLineChars="200"/>
        <w:jc w:val="left"/>
        <w:rPr>
          <w:rFonts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hd w:val="clear" w:color="auto" w:fill="FFFFFF"/>
        </w:rPr>
        <w:t>（一）在</w:t>
      </w:r>
      <w:r>
        <w:rPr>
          <w:rFonts w:hint="eastAsia" w:ascii="仿宋_GB2312" w:hAnsi="仿宋_GB2312" w:eastAsia="仿宋_GB2312" w:cs="仿宋_GB2312"/>
          <w:color w:val="auto"/>
          <w:sz w:val="32"/>
          <w:shd w:val="clear" w:color="auto" w:fill="FFFFFF"/>
          <w:lang w:val="en-US" w:eastAsia="zh-CN"/>
        </w:rPr>
        <w:t>3</w:t>
      </w:r>
      <w:r>
        <w:rPr>
          <w:rFonts w:hint="eastAsia" w:ascii="仿宋_GB2312" w:hAnsi="仿宋_GB2312" w:eastAsia="仿宋_GB2312" w:cs="仿宋_GB2312"/>
          <w:color w:val="auto"/>
          <w:sz w:val="32"/>
          <w:shd w:val="clear" w:color="auto" w:fill="FFFFFF"/>
        </w:rPr>
        <w:t>0日内签订协议并按协议规定时间搬迁腾空房屋的，户籍在册安置对象按60000元/人奖励，原籍外出户按60000元/户奖励；</w:t>
      </w:r>
    </w:p>
    <w:p>
      <w:pPr>
        <w:shd w:val="solid" w:color="FFFFFF" w:fill="auto"/>
        <w:autoSpaceDN w:val="0"/>
        <w:spacing w:line="560" w:lineRule="exact"/>
        <w:ind w:firstLine="632" w:firstLineChars="200"/>
        <w:jc w:val="left"/>
        <w:rPr>
          <w:rFonts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hd w:val="clear" w:color="auto" w:fill="FFFFFF"/>
        </w:rPr>
        <w:t>（二）在45日内签订协议并按协议规定时间搬迁腾空房屋的，户籍在册安置对象按30000元/人奖励，原籍外出户按30000元/户奖励；</w:t>
      </w:r>
    </w:p>
    <w:p>
      <w:pPr>
        <w:shd w:val="solid" w:color="FFFFFF" w:fill="auto"/>
        <w:autoSpaceDN w:val="0"/>
        <w:spacing w:line="560" w:lineRule="exact"/>
        <w:ind w:firstLine="632" w:firstLineChars="200"/>
        <w:jc w:val="left"/>
        <w:rPr>
          <w:rFonts w:hint="eastAsia"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hd w:val="clear" w:color="auto" w:fill="FFFFFF"/>
        </w:rPr>
        <w:t>（三）在</w:t>
      </w:r>
      <w:r>
        <w:rPr>
          <w:rFonts w:hint="eastAsia" w:ascii="仿宋_GB2312" w:hAnsi="仿宋_GB2312" w:eastAsia="仿宋_GB2312" w:cs="仿宋_GB2312"/>
          <w:color w:val="auto"/>
          <w:sz w:val="32"/>
          <w:shd w:val="clear" w:color="auto" w:fill="FFFFFF"/>
          <w:lang w:val="en-US" w:eastAsia="zh-CN"/>
        </w:rPr>
        <w:t>9</w:t>
      </w:r>
      <w:r>
        <w:rPr>
          <w:rFonts w:hint="eastAsia" w:ascii="仿宋_GB2312" w:hAnsi="仿宋_GB2312" w:eastAsia="仿宋_GB2312" w:cs="仿宋_GB2312"/>
          <w:color w:val="auto"/>
          <w:sz w:val="32"/>
          <w:shd w:val="clear" w:color="auto" w:fill="FFFFFF"/>
        </w:rPr>
        <w:t>0日内签订协议并按协议规定时间搬迁腾空房屋的，户籍在册安置对象按20000元/人奖励，原籍外出户按20000元/户奖励。</w:t>
      </w:r>
    </w:p>
    <w:p>
      <w:pPr>
        <w:shd w:val="solid" w:color="FFFFFF" w:fill="auto"/>
        <w:autoSpaceDN w:val="0"/>
        <w:spacing w:line="540" w:lineRule="exact"/>
        <w:ind w:firstLine="640"/>
        <w:jc w:val="left"/>
        <w:rPr>
          <w:rFonts w:ascii="黑体" w:hAnsi="黑体" w:eastAsia="黑体" w:cs="黑体"/>
          <w:color w:val="auto"/>
          <w:sz w:val="32"/>
          <w:shd w:val="clear" w:color="auto" w:fill="FFFFFF"/>
        </w:rPr>
      </w:pPr>
      <w:r>
        <w:rPr>
          <w:rFonts w:hint="eastAsia" w:ascii="黑体" w:hAnsi="黑体" w:eastAsia="黑体"/>
          <w:color w:val="auto"/>
          <w:sz w:val="32"/>
          <w:shd w:val="clear" w:color="auto" w:fill="FFFFFF"/>
        </w:rPr>
        <w:t>第十</w:t>
      </w:r>
      <w:r>
        <w:rPr>
          <w:rFonts w:hint="eastAsia" w:ascii="黑体" w:hAnsi="黑体" w:eastAsia="黑体"/>
          <w:color w:val="auto"/>
          <w:sz w:val="32"/>
          <w:shd w:val="clear" w:color="auto" w:fill="FFFFFF"/>
          <w:lang w:val="en-US" w:eastAsia="zh-CN"/>
        </w:rPr>
        <w:t>五</w:t>
      </w:r>
      <w:r>
        <w:rPr>
          <w:rFonts w:hint="eastAsia" w:ascii="黑体" w:hAnsi="黑体" w:eastAsia="黑体"/>
          <w:color w:val="auto"/>
          <w:sz w:val="32"/>
          <w:shd w:val="clear" w:color="auto" w:fill="FFFFFF"/>
        </w:rPr>
        <w:t xml:space="preserve">条 </w:t>
      </w:r>
      <w:r>
        <w:rPr>
          <w:rFonts w:hint="eastAsia" w:ascii="黑体" w:hAnsi="黑体" w:eastAsia="黑体" w:cs="黑体"/>
          <w:color w:val="auto"/>
          <w:sz w:val="32"/>
          <w:shd w:val="clear" w:color="auto" w:fill="FFFFFF"/>
        </w:rPr>
        <w:t xml:space="preserve"> </w:t>
      </w:r>
      <w:r>
        <w:rPr>
          <w:rFonts w:hint="eastAsia" w:ascii="仿宋_GB2312" w:hAnsi="仿宋_GB2312" w:eastAsia="仿宋_GB2312" w:cs="仿宋_GB2312"/>
          <w:color w:val="auto"/>
          <w:sz w:val="32"/>
          <w:shd w:val="clear" w:color="auto" w:fill="FFFFFF"/>
        </w:rPr>
        <w:t>上楼奖励</w:t>
      </w:r>
    </w:p>
    <w:p>
      <w:pPr>
        <w:shd w:val="solid" w:color="FFFFFF" w:fill="auto"/>
        <w:autoSpaceDN w:val="0"/>
        <w:spacing w:line="540" w:lineRule="exact"/>
        <w:ind w:firstLine="640"/>
        <w:jc w:val="left"/>
        <w:rPr>
          <w:rFonts w:hint="eastAsia" w:ascii="仿宋_GB2312" w:hAnsi="仿宋_GB2312" w:eastAsia="仿宋_GB2312"/>
          <w:color w:val="auto"/>
          <w:sz w:val="32"/>
          <w:shd w:val="clear" w:color="auto" w:fill="FFFFFF"/>
        </w:rPr>
      </w:pPr>
      <w:r>
        <w:rPr>
          <w:rFonts w:hint="eastAsia" w:ascii="仿宋_GB2312" w:hAnsi="仿宋_GB2312" w:eastAsia="仿宋_GB2312"/>
          <w:color w:val="auto"/>
          <w:sz w:val="32"/>
          <w:shd w:val="clear" w:color="auto" w:fill="FFFFFF"/>
        </w:rPr>
        <w:t>户籍在册安置对象每人一次性奖励50000元，原籍外出户每户一次性奖励50000元。</w:t>
      </w:r>
    </w:p>
    <w:p>
      <w:pPr>
        <w:shd w:val="solid" w:color="FFFFFF" w:fill="auto"/>
        <w:autoSpaceDN w:val="0"/>
        <w:spacing w:line="540" w:lineRule="exact"/>
        <w:ind w:firstLine="640"/>
        <w:jc w:val="left"/>
        <w:rPr>
          <w:rFonts w:hint="eastAsia" w:ascii="仿宋_GB2312" w:hAnsi="仿宋_GB2312" w:eastAsia="仿宋_GB2312"/>
          <w:color w:val="auto"/>
          <w:sz w:val="32"/>
          <w:shd w:val="clear" w:color="auto" w:fill="FFFFFF"/>
        </w:rPr>
      </w:pPr>
    </w:p>
    <w:p>
      <w:pPr>
        <w:numPr>
          <w:ilvl w:val="0"/>
          <w:numId w:val="0"/>
        </w:numPr>
        <w:spacing w:line="560" w:lineRule="exact"/>
        <w:jc w:val="center"/>
        <w:rPr>
          <w:rFonts w:ascii="黑体" w:eastAsia="黑体"/>
          <w:color w:val="auto"/>
          <w:sz w:val="36"/>
          <w:szCs w:val="36"/>
        </w:rPr>
      </w:pPr>
      <w:r>
        <w:rPr>
          <w:rFonts w:hint="eastAsia" w:ascii="黑体" w:hAnsi="黑体" w:eastAsia="黑体" w:cs="黑体"/>
          <w:color w:val="auto"/>
          <w:sz w:val="36"/>
          <w:szCs w:val="36"/>
          <w:lang w:val="en-US" w:eastAsia="zh-CN"/>
        </w:rPr>
        <w:t xml:space="preserve">第五章  </w:t>
      </w:r>
      <w:r>
        <w:rPr>
          <w:rFonts w:hint="eastAsia" w:ascii="黑体" w:hAnsi="黑体" w:eastAsia="黑体" w:cs="黑体"/>
          <w:color w:val="auto"/>
          <w:sz w:val="36"/>
          <w:szCs w:val="36"/>
        </w:rPr>
        <w:t>村民住宅以外的房屋</w:t>
      </w:r>
      <w:r>
        <w:rPr>
          <w:rFonts w:hint="eastAsia" w:ascii="黑体" w:eastAsia="黑体"/>
          <w:color w:val="auto"/>
          <w:sz w:val="36"/>
          <w:szCs w:val="36"/>
        </w:rPr>
        <w:t>补偿</w:t>
      </w:r>
    </w:p>
    <w:p>
      <w:pPr>
        <w:shd w:val="solid" w:color="FFFFFF" w:fill="auto"/>
        <w:autoSpaceDN w:val="0"/>
        <w:spacing w:line="560" w:lineRule="exact"/>
        <w:jc w:val="left"/>
        <w:rPr>
          <w:rFonts w:ascii="仿宋_GB2312" w:hAnsi="仿宋_GB2312" w:eastAsia="仿宋_GB2312" w:cs="仿宋_GB2312"/>
          <w:color w:val="auto"/>
          <w:sz w:val="32"/>
          <w:shd w:val="clear" w:color="auto" w:fill="FFFFFF"/>
        </w:rPr>
      </w:pPr>
    </w:p>
    <w:p>
      <w:pPr>
        <w:numPr>
          <w:ilvl w:val="0"/>
          <w:numId w:val="0"/>
        </w:numPr>
        <w:shd w:val="solid" w:color="FFFFFF" w:fill="auto"/>
        <w:autoSpaceDN w:val="0"/>
        <w:spacing w:line="560" w:lineRule="exact"/>
        <w:ind w:firstLine="632" w:firstLineChars="200"/>
        <w:jc w:val="left"/>
        <w:rPr>
          <w:rFonts w:hint="eastAsia" w:ascii="仿宋_GB2312" w:hAnsi="仿宋_GB2312" w:eastAsia="仿宋_GB2312" w:cs="仿宋_GB2312"/>
          <w:color w:val="auto"/>
          <w:sz w:val="32"/>
          <w:shd w:val="clear" w:color="auto" w:fill="FFFFFF"/>
        </w:rPr>
      </w:pPr>
      <w:r>
        <w:rPr>
          <w:rFonts w:hint="eastAsia" w:ascii="黑体" w:hAnsi="黑体" w:eastAsia="黑体" w:cs="黑体"/>
          <w:color w:val="auto"/>
          <w:sz w:val="32"/>
          <w:szCs w:val="32"/>
          <w:lang w:val="en-US" w:eastAsia="zh-CN"/>
        </w:rPr>
        <w:t>第十六条</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本方案所称村民住宅</w:t>
      </w:r>
      <w:r>
        <w:rPr>
          <w:rFonts w:hint="eastAsia" w:ascii="仿宋_GB2312" w:eastAsia="仿宋_GB2312"/>
          <w:color w:val="auto"/>
          <w:sz w:val="32"/>
          <w:szCs w:val="32"/>
          <w:lang w:val="en-US" w:eastAsia="zh-CN"/>
        </w:rPr>
        <w:t>以外房屋</w:t>
      </w:r>
      <w:r>
        <w:rPr>
          <w:rFonts w:hint="eastAsia" w:ascii="仿宋_GB2312" w:eastAsia="仿宋_GB2312"/>
          <w:color w:val="auto"/>
          <w:sz w:val="32"/>
          <w:szCs w:val="32"/>
        </w:rPr>
        <w:t>，</w:t>
      </w:r>
      <w:r>
        <w:rPr>
          <w:rFonts w:hint="eastAsia" w:ascii="仿宋_GB2312" w:hAnsi="仿宋_GB2312" w:eastAsia="仿宋_GB2312" w:cs="仿宋_GB2312"/>
          <w:color w:val="auto"/>
          <w:sz w:val="32"/>
          <w:shd w:val="clear" w:color="auto" w:fill="FFFFFF"/>
        </w:rPr>
        <w:t>是指</w:t>
      </w:r>
      <w:r>
        <w:rPr>
          <w:rFonts w:hint="eastAsia" w:ascii="仿宋_GB2312" w:eastAsia="仿宋_GB2312"/>
          <w:color w:val="auto"/>
          <w:sz w:val="32"/>
          <w:szCs w:val="32"/>
          <w:u w:val="none"/>
          <w:lang w:eastAsia="zh-CN"/>
        </w:rPr>
        <w:t>《</w:t>
      </w:r>
      <w:r>
        <w:rPr>
          <w:rFonts w:hint="eastAsia" w:ascii="仿宋_GB2312" w:eastAsia="仿宋_GB2312"/>
          <w:color w:val="auto"/>
          <w:sz w:val="32"/>
          <w:szCs w:val="32"/>
          <w:u w:val="none"/>
          <w:lang w:val="en-US" w:eastAsia="zh-CN"/>
        </w:rPr>
        <w:t>通告</w:t>
      </w:r>
      <w:r>
        <w:rPr>
          <w:rFonts w:hint="eastAsia" w:ascii="仿宋_GB2312" w:eastAsia="仿宋_GB2312"/>
          <w:color w:val="auto"/>
          <w:sz w:val="32"/>
          <w:szCs w:val="32"/>
          <w:u w:val="none"/>
          <w:lang w:eastAsia="zh-CN"/>
        </w:rPr>
        <w:t>》</w:t>
      </w:r>
      <w:r>
        <w:rPr>
          <w:rFonts w:hint="eastAsia" w:ascii="仿宋_GB2312" w:hAnsi="仿宋_GB2312" w:eastAsia="仿宋_GB2312" w:cs="仿宋_GB2312"/>
          <w:color w:val="auto"/>
          <w:sz w:val="32"/>
          <w:u w:val="none"/>
          <w:shd w:val="clear" w:color="auto" w:fill="FFFFFF"/>
        </w:rPr>
        <w:t>发布之前户籍</w:t>
      </w:r>
      <w:r>
        <w:rPr>
          <w:rFonts w:hint="eastAsia" w:ascii="仿宋_GB2312" w:hAnsi="仿宋_GB2312" w:eastAsia="仿宋_GB2312" w:cs="仿宋_GB2312"/>
          <w:color w:val="auto"/>
          <w:sz w:val="32"/>
          <w:shd w:val="clear" w:color="auto" w:fill="FFFFFF"/>
        </w:rPr>
        <w:t>不在被征收土地所在的村小组、不具有宅基地资格权且不属于原籍外出户的房屋所有人名下的合法房屋，包括住宅、商业、办公、工业、仓储等房屋，是指有建筑基础，有完好的外墙和屋盖，层高（或檐高）在2.2米以上，已安装门、窗、水、电等设施，具备居住、使用条件的永久性房屋，包括钢筋混凝土结构、混合结构、砖木结构等结构的房屋。</w:t>
      </w:r>
    </w:p>
    <w:p>
      <w:pPr>
        <w:shd w:val="solid" w:color="FFFFFF" w:fill="auto"/>
        <w:autoSpaceDN w:val="0"/>
        <w:spacing w:line="560" w:lineRule="exact"/>
        <w:ind w:firstLine="632" w:firstLineChars="200"/>
        <w:jc w:val="left"/>
        <w:rPr>
          <w:rFonts w:hint="eastAsia" w:ascii="仿宋_GB2312" w:hAnsi="仿宋_GB2312" w:eastAsia="仿宋_GB2312" w:cs="仿宋_GB2312"/>
          <w:color w:val="auto"/>
          <w:sz w:val="32"/>
          <w:shd w:val="clear" w:color="auto" w:fill="FFFFFF"/>
          <w:lang w:eastAsia="zh-CN"/>
        </w:rPr>
      </w:pPr>
      <w:r>
        <w:rPr>
          <w:rFonts w:hint="eastAsia" w:ascii="黑体" w:hAnsi="黑体" w:eastAsia="黑体" w:cs="黑体"/>
          <w:color w:val="auto"/>
          <w:sz w:val="32"/>
          <w:shd w:val="clear" w:color="auto" w:fill="FFFFFF"/>
        </w:rPr>
        <w:t>第十</w:t>
      </w:r>
      <w:r>
        <w:rPr>
          <w:rFonts w:hint="eastAsia" w:ascii="黑体" w:hAnsi="黑体" w:eastAsia="黑体" w:cs="黑体"/>
          <w:color w:val="auto"/>
          <w:sz w:val="32"/>
          <w:shd w:val="clear" w:color="auto" w:fill="FFFFFF"/>
          <w:lang w:val="en-US" w:eastAsia="zh-CN"/>
        </w:rPr>
        <w:t>七</w:t>
      </w:r>
      <w:r>
        <w:rPr>
          <w:rFonts w:hint="eastAsia" w:ascii="黑体" w:hAnsi="黑体" w:eastAsia="黑体" w:cs="黑体"/>
          <w:color w:val="auto"/>
          <w:sz w:val="32"/>
          <w:shd w:val="clear" w:color="auto" w:fill="FFFFFF"/>
        </w:rPr>
        <w:t>条</w:t>
      </w:r>
      <w:r>
        <w:rPr>
          <w:rFonts w:hint="eastAsia" w:ascii="仿宋_GB2312" w:hAnsi="仿宋_GB2312" w:eastAsia="仿宋_GB2312" w:cs="仿宋_GB2312"/>
          <w:color w:val="auto"/>
          <w:sz w:val="32"/>
          <w:shd w:val="clear" w:color="auto" w:fill="FFFFFF"/>
        </w:rPr>
        <w:t xml:space="preserve">  村民住宅以外的房屋分类如下</w:t>
      </w:r>
      <w:r>
        <w:rPr>
          <w:rFonts w:hint="eastAsia" w:ascii="仿宋_GB2312" w:hAnsi="仿宋_GB2312" w:eastAsia="仿宋_GB2312" w:cs="仿宋_GB2312"/>
          <w:color w:val="auto"/>
          <w:sz w:val="32"/>
          <w:shd w:val="clear" w:color="auto" w:fill="FFFFFF"/>
          <w:lang w:eastAsia="zh-CN"/>
        </w:rPr>
        <w:t>：</w:t>
      </w:r>
    </w:p>
    <w:p>
      <w:pPr>
        <w:shd w:val="solid" w:color="FFFFFF" w:fill="auto"/>
        <w:autoSpaceDN w:val="0"/>
        <w:spacing w:line="560" w:lineRule="exact"/>
        <w:ind w:firstLine="632" w:firstLineChars="200"/>
        <w:jc w:val="left"/>
        <w:rPr>
          <w:rFonts w:ascii="仿宋_GB2312" w:hAnsi="仿宋_GB2312" w:eastAsia="仿宋_GB2312" w:cs="仿宋_GB2312"/>
          <w:color w:val="auto"/>
          <w:sz w:val="32"/>
          <w:u w:val="none"/>
          <w:shd w:val="clear" w:color="auto" w:fill="FFFFFF"/>
        </w:rPr>
      </w:pPr>
      <w:r>
        <w:rPr>
          <w:rFonts w:hint="eastAsia" w:ascii="仿宋_GB2312" w:hAnsi="仿宋_GB2312" w:eastAsia="仿宋_GB2312" w:cs="仿宋_GB2312"/>
          <w:color w:val="auto"/>
          <w:sz w:val="32"/>
          <w:u w:val="none"/>
          <w:shd w:val="clear" w:color="auto" w:fill="FFFFFF"/>
          <w:lang w:eastAsia="zh-CN"/>
        </w:rPr>
        <w:t>（</w:t>
      </w:r>
      <w:r>
        <w:rPr>
          <w:rFonts w:hint="eastAsia" w:ascii="仿宋_GB2312" w:hAnsi="仿宋_GB2312" w:eastAsia="仿宋_GB2312" w:cs="仿宋_GB2312"/>
          <w:color w:val="auto"/>
          <w:sz w:val="32"/>
          <w:u w:val="none"/>
          <w:shd w:val="clear" w:color="auto" w:fill="FFFFFF"/>
          <w:lang w:val="en-US" w:eastAsia="zh-CN"/>
        </w:rPr>
        <w:t>一</w:t>
      </w:r>
      <w:r>
        <w:rPr>
          <w:rFonts w:hint="eastAsia" w:ascii="仿宋_GB2312" w:hAnsi="仿宋_GB2312" w:eastAsia="仿宋_GB2312" w:cs="仿宋_GB2312"/>
          <w:color w:val="auto"/>
          <w:sz w:val="32"/>
          <w:u w:val="none"/>
          <w:shd w:val="clear" w:color="auto" w:fill="FFFFFF"/>
          <w:lang w:eastAsia="zh-CN"/>
        </w:rPr>
        <w:t>）</w:t>
      </w:r>
      <w:r>
        <w:rPr>
          <w:rFonts w:hint="eastAsia" w:ascii="仿宋_GB2312" w:eastAsia="仿宋_GB2312"/>
          <w:color w:val="auto"/>
          <w:sz w:val="32"/>
          <w:szCs w:val="32"/>
          <w:u w:val="none"/>
          <w:lang w:eastAsia="zh-CN"/>
        </w:rPr>
        <w:t>《</w:t>
      </w:r>
      <w:r>
        <w:rPr>
          <w:rFonts w:hint="eastAsia" w:ascii="仿宋_GB2312" w:eastAsia="仿宋_GB2312"/>
          <w:color w:val="auto"/>
          <w:sz w:val="32"/>
          <w:szCs w:val="32"/>
        </w:rPr>
        <w:t>通告</w:t>
      </w:r>
      <w:r>
        <w:rPr>
          <w:rFonts w:hint="eastAsia" w:ascii="仿宋_GB2312" w:eastAsia="仿宋_GB2312"/>
          <w:color w:val="auto"/>
          <w:sz w:val="32"/>
          <w:szCs w:val="32"/>
          <w:u w:val="none"/>
          <w:lang w:eastAsia="zh-CN"/>
        </w:rPr>
        <w:t>》</w:t>
      </w:r>
      <w:r>
        <w:rPr>
          <w:rFonts w:hint="eastAsia" w:ascii="仿宋_GB2312" w:hAnsi="仿宋_GB2312" w:eastAsia="仿宋_GB2312" w:cs="仿宋_GB2312"/>
          <w:color w:val="auto"/>
          <w:sz w:val="32"/>
          <w:u w:val="none"/>
          <w:shd w:val="clear" w:color="auto" w:fill="FFFFFF"/>
        </w:rPr>
        <w:t>发布前已取得《房屋所有权证》《房地产权证》及房地一体《不动产权证》等产权证的房屋；</w:t>
      </w:r>
    </w:p>
    <w:p>
      <w:pPr>
        <w:shd w:val="solid" w:color="FFFFFF" w:fill="auto"/>
        <w:autoSpaceDN w:val="0"/>
        <w:spacing w:line="560" w:lineRule="exact"/>
        <w:ind w:firstLine="632" w:firstLineChars="200"/>
        <w:jc w:val="left"/>
        <w:rPr>
          <w:rFonts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u w:val="none"/>
          <w:shd w:val="clear" w:color="auto" w:fill="FFFFFF"/>
          <w:lang w:eastAsia="zh-CN"/>
        </w:rPr>
        <w:t>（</w:t>
      </w:r>
      <w:r>
        <w:rPr>
          <w:rFonts w:hint="eastAsia" w:ascii="仿宋_GB2312" w:hAnsi="仿宋_GB2312" w:eastAsia="仿宋_GB2312" w:cs="仿宋_GB2312"/>
          <w:color w:val="auto"/>
          <w:sz w:val="32"/>
          <w:u w:val="none"/>
          <w:shd w:val="clear" w:color="auto" w:fill="FFFFFF"/>
          <w:lang w:val="en-US" w:eastAsia="zh-CN"/>
        </w:rPr>
        <w:t>二</w:t>
      </w:r>
      <w:r>
        <w:rPr>
          <w:rFonts w:hint="eastAsia" w:ascii="仿宋_GB2312" w:hAnsi="仿宋_GB2312" w:eastAsia="仿宋_GB2312" w:cs="仿宋_GB2312"/>
          <w:color w:val="auto"/>
          <w:sz w:val="32"/>
          <w:u w:val="none"/>
          <w:shd w:val="clear" w:color="auto" w:fill="FFFFFF"/>
          <w:lang w:eastAsia="zh-CN"/>
        </w:rPr>
        <w:t>）</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通告</w:t>
      </w:r>
      <w:r>
        <w:rPr>
          <w:rFonts w:hint="eastAsia" w:ascii="仿宋_GB2312" w:eastAsia="仿宋_GB2312"/>
          <w:color w:val="auto"/>
          <w:sz w:val="32"/>
          <w:szCs w:val="32"/>
          <w:lang w:eastAsia="zh-CN"/>
        </w:rPr>
        <w:t>》</w:t>
      </w:r>
      <w:r>
        <w:rPr>
          <w:rFonts w:hint="eastAsia" w:ascii="仿宋_GB2312" w:hAnsi="仿宋_GB2312" w:eastAsia="仿宋_GB2312" w:cs="仿宋_GB2312"/>
          <w:color w:val="auto"/>
          <w:sz w:val="32"/>
          <w:u w:val="none"/>
          <w:shd w:val="clear" w:color="auto" w:fill="FFFFFF"/>
        </w:rPr>
        <w:t>发布前未取得《房屋所有权证》《房地产权证》及房地一体《不动产权</w:t>
      </w:r>
      <w:r>
        <w:rPr>
          <w:rFonts w:hint="eastAsia" w:ascii="仿宋_GB2312" w:hAnsi="仿宋_GB2312" w:eastAsia="仿宋_GB2312" w:cs="仿宋_GB2312"/>
          <w:color w:val="auto"/>
          <w:sz w:val="32"/>
          <w:shd w:val="clear" w:color="auto" w:fill="FFFFFF"/>
        </w:rPr>
        <w:t>证》等产权证的房屋。</w:t>
      </w:r>
    </w:p>
    <w:p>
      <w:pPr>
        <w:shd w:val="solid" w:color="FFFFFF" w:fill="auto"/>
        <w:autoSpaceDN w:val="0"/>
        <w:spacing w:line="560" w:lineRule="exact"/>
        <w:ind w:firstLine="632" w:firstLineChars="200"/>
        <w:jc w:val="left"/>
        <w:rPr>
          <w:rFonts w:hint="eastAsia" w:ascii="仿宋_GB2312" w:hAnsi="仿宋_GB2312" w:eastAsia="仿宋_GB2312" w:cs="仿宋_GB2312"/>
          <w:color w:val="auto"/>
          <w:sz w:val="32"/>
          <w:shd w:val="clear" w:color="auto" w:fill="FFFFFF"/>
        </w:rPr>
      </w:pPr>
      <w:r>
        <w:rPr>
          <w:rFonts w:hint="eastAsia" w:ascii="黑体" w:hAnsi="黑体" w:eastAsia="黑体" w:cs="黑体"/>
          <w:color w:val="auto"/>
          <w:sz w:val="32"/>
          <w:shd w:val="clear" w:color="auto" w:fill="FFFFFF"/>
        </w:rPr>
        <w:t>第十</w:t>
      </w:r>
      <w:r>
        <w:rPr>
          <w:rFonts w:hint="eastAsia" w:ascii="黑体" w:hAnsi="黑体" w:eastAsia="黑体" w:cs="黑体"/>
          <w:color w:val="auto"/>
          <w:sz w:val="32"/>
          <w:shd w:val="clear" w:color="auto" w:fill="FFFFFF"/>
          <w:lang w:val="en-US" w:eastAsia="zh-CN"/>
        </w:rPr>
        <w:t>八</w:t>
      </w:r>
      <w:r>
        <w:rPr>
          <w:rFonts w:hint="eastAsia" w:ascii="黑体" w:hAnsi="黑体" w:eastAsia="黑体" w:cs="黑体"/>
          <w:color w:val="auto"/>
          <w:sz w:val="32"/>
          <w:shd w:val="clear" w:color="auto" w:fill="FFFFFF"/>
        </w:rPr>
        <w:t>条</w:t>
      </w:r>
      <w:r>
        <w:rPr>
          <w:rFonts w:hint="eastAsia" w:ascii="仿宋_GB2312" w:hAnsi="仿宋_GB2312" w:eastAsia="仿宋_GB2312" w:cs="仿宋_GB2312"/>
          <w:color w:val="auto"/>
          <w:sz w:val="32"/>
          <w:shd w:val="clear" w:color="auto" w:fill="FFFFFF"/>
        </w:rPr>
        <w:t xml:space="preserve">  村民住宅以外的房屋补偿</w:t>
      </w:r>
    </w:p>
    <w:p>
      <w:pPr>
        <w:shd w:val="solid" w:color="FFFFFF" w:fill="auto"/>
        <w:autoSpaceDN w:val="0"/>
        <w:spacing w:line="560" w:lineRule="exact"/>
        <w:ind w:firstLine="632" w:firstLineChars="200"/>
        <w:jc w:val="left"/>
        <w:rPr>
          <w:rFonts w:hint="eastAsia" w:ascii="楷体_GB2312" w:hAnsi="楷体_GB2312" w:eastAsia="楷体_GB2312" w:cs="楷体_GB2312"/>
          <w:color w:val="auto"/>
          <w:sz w:val="32"/>
          <w:shd w:val="clear" w:color="auto" w:fill="FFFFFF"/>
          <w:lang w:val="en-US" w:eastAsia="zh-CN"/>
        </w:rPr>
      </w:pPr>
      <w:r>
        <w:rPr>
          <w:rFonts w:hint="eastAsia" w:ascii="楷体_GB2312" w:hAnsi="楷体_GB2312" w:eastAsia="楷体_GB2312" w:cs="楷体_GB2312"/>
          <w:color w:val="auto"/>
          <w:sz w:val="32"/>
          <w:shd w:val="clear" w:color="auto" w:fill="FFFFFF"/>
          <w:lang w:eastAsia="zh-CN"/>
        </w:rPr>
        <w:t>（</w:t>
      </w:r>
      <w:r>
        <w:rPr>
          <w:rFonts w:hint="eastAsia" w:ascii="楷体_GB2312" w:hAnsi="楷体_GB2312" w:eastAsia="楷体_GB2312" w:cs="楷体_GB2312"/>
          <w:color w:val="auto"/>
          <w:sz w:val="32"/>
          <w:shd w:val="clear" w:color="auto" w:fill="FFFFFF"/>
          <w:lang w:val="en-US" w:eastAsia="zh-CN"/>
        </w:rPr>
        <w:t>一</w:t>
      </w:r>
      <w:r>
        <w:rPr>
          <w:rFonts w:hint="eastAsia" w:ascii="楷体_GB2312" w:hAnsi="楷体_GB2312" w:eastAsia="楷体_GB2312" w:cs="楷体_GB2312"/>
          <w:color w:val="auto"/>
          <w:sz w:val="32"/>
          <w:shd w:val="clear" w:color="auto" w:fill="FFFFFF"/>
          <w:lang w:eastAsia="zh-CN"/>
        </w:rPr>
        <w:t>）</w:t>
      </w:r>
      <w:r>
        <w:rPr>
          <w:rFonts w:hint="eastAsia" w:ascii="楷体_GB2312" w:hAnsi="楷体_GB2312" w:eastAsia="楷体_GB2312" w:cs="楷体_GB2312"/>
          <w:color w:val="auto"/>
          <w:sz w:val="32"/>
          <w:shd w:val="clear" w:color="auto" w:fill="FFFFFF"/>
          <w:lang w:val="en-US" w:eastAsia="zh-CN"/>
        </w:rPr>
        <w:t>房屋补偿</w:t>
      </w:r>
    </w:p>
    <w:p>
      <w:pPr>
        <w:shd w:val="solid" w:color="FFFFFF" w:fill="auto"/>
        <w:autoSpaceDN w:val="0"/>
        <w:spacing w:line="560" w:lineRule="exact"/>
        <w:ind w:firstLine="632" w:firstLineChars="200"/>
        <w:jc w:val="left"/>
        <w:rPr>
          <w:rFonts w:hint="eastAsia" w:ascii="仿宋_GB2312" w:hAnsi="仿宋_GB2312" w:eastAsia="仿宋_GB2312"/>
          <w:color w:val="auto"/>
          <w:sz w:val="32"/>
          <w:shd w:val="clear" w:color="auto" w:fill="FFFFFF"/>
          <w:lang w:eastAsia="zh-CN"/>
        </w:rPr>
      </w:pPr>
      <w:r>
        <w:rPr>
          <w:rFonts w:hint="eastAsia" w:ascii="仿宋_GB2312" w:hAnsi="仿宋_GB2312" w:eastAsia="仿宋_GB2312" w:cs="仿宋_GB2312"/>
          <w:b w:val="0"/>
          <w:bCs w:val="0"/>
          <w:color w:val="auto"/>
          <w:sz w:val="32"/>
          <w:shd w:val="clear" w:color="auto" w:fill="FFFFFF"/>
          <w:lang w:val="en-US" w:eastAsia="zh-CN"/>
        </w:rPr>
        <w:t>第十七条</w:t>
      </w:r>
      <w:r>
        <w:rPr>
          <w:rFonts w:hint="eastAsia" w:ascii="仿宋_GB2312" w:hAnsi="仿宋_GB2312" w:eastAsia="仿宋_GB2312" w:cs="仿宋_GB2312"/>
          <w:b w:val="0"/>
          <w:bCs w:val="0"/>
          <w:color w:val="auto"/>
          <w:sz w:val="32"/>
          <w:shd w:val="clear" w:color="auto" w:fill="FFFFFF"/>
        </w:rPr>
        <w:t>第</w:t>
      </w:r>
      <w:r>
        <w:rPr>
          <w:rFonts w:hint="eastAsia" w:ascii="仿宋_GB2312" w:hAnsi="仿宋_GB2312" w:eastAsia="仿宋_GB2312" w:cs="仿宋_GB2312"/>
          <w:b w:val="0"/>
          <w:bCs w:val="0"/>
          <w:color w:val="auto"/>
          <w:sz w:val="32"/>
          <w:shd w:val="clear" w:color="auto" w:fill="FFFFFF"/>
          <w:lang w:eastAsia="zh-CN"/>
        </w:rPr>
        <w:t>（</w:t>
      </w:r>
      <w:r>
        <w:rPr>
          <w:rFonts w:hint="eastAsia" w:ascii="仿宋_GB2312" w:hAnsi="仿宋_GB2312" w:eastAsia="仿宋_GB2312" w:cs="仿宋_GB2312"/>
          <w:b w:val="0"/>
          <w:bCs w:val="0"/>
          <w:color w:val="auto"/>
          <w:sz w:val="32"/>
          <w:shd w:val="clear" w:color="auto" w:fill="FFFFFF"/>
          <w:lang w:val="en-US" w:eastAsia="zh-CN"/>
        </w:rPr>
        <w:t>一</w:t>
      </w:r>
      <w:r>
        <w:rPr>
          <w:rFonts w:hint="eastAsia" w:ascii="仿宋_GB2312" w:hAnsi="仿宋_GB2312" w:eastAsia="仿宋_GB2312" w:cs="仿宋_GB2312"/>
          <w:b w:val="0"/>
          <w:bCs w:val="0"/>
          <w:color w:val="auto"/>
          <w:sz w:val="32"/>
          <w:shd w:val="clear" w:color="auto" w:fill="FFFFFF"/>
          <w:lang w:eastAsia="zh-CN"/>
        </w:rPr>
        <w:t>）</w:t>
      </w:r>
      <w:r>
        <w:rPr>
          <w:rFonts w:hint="eastAsia" w:ascii="仿宋_GB2312" w:hAnsi="仿宋_GB2312" w:eastAsia="仿宋_GB2312" w:cs="仿宋_GB2312"/>
          <w:b w:val="0"/>
          <w:bCs w:val="0"/>
          <w:color w:val="auto"/>
          <w:sz w:val="32"/>
          <w:shd w:val="clear" w:color="auto" w:fill="FFFFFF"/>
          <w:lang w:val="en-US" w:eastAsia="zh-CN"/>
        </w:rPr>
        <w:t>项的</w:t>
      </w:r>
      <w:r>
        <w:rPr>
          <w:rFonts w:hint="eastAsia" w:ascii="仿宋_GB2312" w:hAnsi="仿宋_GB2312" w:eastAsia="仿宋_GB2312" w:cs="仿宋_GB2312"/>
          <w:b w:val="0"/>
          <w:bCs w:val="0"/>
          <w:color w:val="auto"/>
          <w:sz w:val="32"/>
          <w:shd w:val="clear" w:color="auto" w:fill="FFFFFF"/>
        </w:rPr>
        <w:t>房屋按照产权证证载建筑面积给予房屋补偿</w:t>
      </w:r>
      <w:r>
        <w:rPr>
          <w:rFonts w:hint="eastAsia" w:ascii="仿宋_GB2312" w:hAnsi="仿宋_GB2312" w:eastAsia="仿宋_GB2312" w:cs="仿宋_GB2312"/>
          <w:b w:val="0"/>
          <w:bCs w:val="0"/>
          <w:color w:val="auto"/>
          <w:sz w:val="32"/>
          <w:shd w:val="clear" w:color="auto" w:fill="FFFFFF"/>
          <w:lang w:eastAsia="zh-CN"/>
        </w:rPr>
        <w:t>，</w:t>
      </w:r>
      <w:r>
        <w:rPr>
          <w:rFonts w:hint="eastAsia" w:ascii="仿宋_GB2312" w:hAnsi="仿宋_GB2312" w:eastAsia="仿宋_GB2312" w:cs="仿宋_GB2312"/>
          <w:b w:val="0"/>
          <w:bCs w:val="0"/>
          <w:color w:val="auto"/>
          <w:sz w:val="32"/>
          <w:shd w:val="clear" w:color="auto" w:fill="FFFFFF"/>
          <w:lang w:val="en-US" w:eastAsia="zh-CN"/>
        </w:rPr>
        <w:t>并按第十一条规定予以补偿</w:t>
      </w:r>
      <w:r>
        <w:rPr>
          <w:rFonts w:hint="eastAsia" w:ascii="仿宋_GB2312" w:hAnsi="仿宋_GB2312" w:eastAsia="仿宋_GB2312" w:cs="仿宋_GB2312"/>
          <w:color w:val="auto"/>
          <w:sz w:val="32"/>
          <w:shd w:val="clear" w:color="auto" w:fill="FFFFFF"/>
        </w:rPr>
        <w:t>；第</w:t>
      </w:r>
      <w:r>
        <w:rPr>
          <w:rFonts w:hint="eastAsia" w:ascii="仿宋_GB2312" w:hAnsi="仿宋_GB2312" w:eastAsia="仿宋_GB2312" w:cs="仿宋_GB2312"/>
          <w:color w:val="auto"/>
          <w:sz w:val="32"/>
          <w:shd w:val="clear" w:color="auto" w:fill="FFFFFF"/>
          <w:lang w:val="en-US" w:eastAsia="zh-CN"/>
        </w:rPr>
        <w:t>十七条第</w:t>
      </w:r>
      <w:r>
        <w:rPr>
          <w:rFonts w:hint="eastAsia" w:ascii="仿宋_GB2312" w:hAnsi="仿宋_GB2312" w:eastAsia="仿宋_GB2312" w:cs="仿宋_GB2312"/>
          <w:color w:val="auto"/>
          <w:sz w:val="32"/>
          <w:shd w:val="clear" w:color="auto" w:fill="FFFFFF"/>
          <w:lang w:eastAsia="zh-CN"/>
        </w:rPr>
        <w:t>（</w:t>
      </w:r>
      <w:r>
        <w:rPr>
          <w:rFonts w:hint="eastAsia" w:ascii="仿宋_GB2312" w:hAnsi="仿宋_GB2312" w:eastAsia="仿宋_GB2312" w:cs="仿宋_GB2312"/>
          <w:color w:val="auto"/>
          <w:sz w:val="32"/>
          <w:shd w:val="clear" w:color="auto" w:fill="FFFFFF"/>
          <w:lang w:val="en-US" w:eastAsia="zh-CN"/>
        </w:rPr>
        <w:t>二</w:t>
      </w:r>
      <w:r>
        <w:rPr>
          <w:rFonts w:hint="eastAsia" w:ascii="仿宋_GB2312" w:hAnsi="仿宋_GB2312" w:eastAsia="仿宋_GB2312" w:cs="仿宋_GB2312"/>
          <w:color w:val="auto"/>
          <w:sz w:val="32"/>
          <w:shd w:val="clear" w:color="auto" w:fill="FFFFFF"/>
          <w:lang w:eastAsia="zh-CN"/>
        </w:rPr>
        <w:t>）</w:t>
      </w:r>
      <w:r>
        <w:rPr>
          <w:rFonts w:hint="eastAsia" w:ascii="仿宋_GB2312" w:hAnsi="仿宋_GB2312" w:eastAsia="仿宋_GB2312" w:cs="仿宋_GB2312"/>
          <w:color w:val="auto"/>
          <w:sz w:val="32"/>
          <w:shd w:val="clear" w:color="auto" w:fill="FFFFFF"/>
          <w:lang w:val="en-US" w:eastAsia="zh-CN"/>
        </w:rPr>
        <w:t>项</w:t>
      </w:r>
      <w:r>
        <w:rPr>
          <w:rFonts w:hint="eastAsia" w:ascii="仿宋_GB2312" w:hAnsi="仿宋_GB2312" w:eastAsia="仿宋_GB2312" w:cs="仿宋_GB2312"/>
          <w:color w:val="auto"/>
          <w:sz w:val="32"/>
          <w:shd w:val="clear" w:color="auto" w:fill="FFFFFF"/>
        </w:rPr>
        <w:t>房屋，由霞涌街道办牵头组织国土、住建、执法、动迁等有关部门，依法进行调查认定。经认定不属于违法用地、违法建筑，</w:t>
      </w:r>
      <w:r>
        <w:rPr>
          <w:rFonts w:hint="eastAsia" w:ascii="仿宋_GB2312" w:hAnsi="仿宋_GB2312" w:eastAsia="仿宋_GB2312" w:cs="仿宋_GB2312"/>
          <w:color w:val="auto"/>
          <w:sz w:val="32"/>
          <w:u w:val="none"/>
          <w:shd w:val="clear" w:color="auto" w:fill="FFFFFF"/>
        </w:rPr>
        <w:t>可以参照合法建筑补偿的，按</w:t>
      </w:r>
      <w:r>
        <w:rPr>
          <w:rFonts w:hint="eastAsia" w:ascii="仿宋_GB2312" w:hAnsi="仿宋_GB2312" w:eastAsia="仿宋_GB2312" w:cs="仿宋_GB2312"/>
          <w:color w:val="auto"/>
          <w:sz w:val="32"/>
          <w:shd w:val="clear" w:color="auto" w:fill="FFFFFF"/>
        </w:rPr>
        <w:t>实测房屋建筑面积，并按第十</w:t>
      </w:r>
      <w:r>
        <w:rPr>
          <w:rFonts w:hint="eastAsia" w:ascii="仿宋_GB2312" w:hAnsi="仿宋_GB2312" w:eastAsia="仿宋_GB2312" w:cs="仿宋_GB2312"/>
          <w:color w:val="auto"/>
          <w:sz w:val="32"/>
          <w:shd w:val="clear" w:color="auto" w:fill="FFFFFF"/>
          <w:lang w:val="en-US" w:eastAsia="zh-CN"/>
        </w:rPr>
        <w:t>一</w:t>
      </w:r>
      <w:r>
        <w:rPr>
          <w:rFonts w:hint="eastAsia" w:ascii="仿宋_GB2312" w:hAnsi="仿宋_GB2312" w:eastAsia="仿宋_GB2312" w:cs="仿宋_GB2312"/>
          <w:color w:val="auto"/>
          <w:sz w:val="32"/>
          <w:shd w:val="clear" w:color="auto" w:fill="FFFFFF"/>
        </w:rPr>
        <w:t>条规定予以补偿；认定为违法用地、违法建筑的，不予补偿。</w:t>
      </w:r>
      <w:r>
        <w:rPr>
          <w:rFonts w:ascii="仿宋_GB2312" w:hAnsi="仿宋_GB2312" w:eastAsia="仿宋_GB2312"/>
          <w:color w:val="auto"/>
          <w:sz w:val="32"/>
          <w:shd w:val="clear" w:color="auto" w:fill="FFFFFF"/>
        </w:rPr>
        <w:t>附属物</w:t>
      </w:r>
      <w:r>
        <w:rPr>
          <w:rFonts w:hint="eastAsia" w:ascii="仿宋_GB2312" w:hAnsi="仿宋_GB2312" w:eastAsia="仿宋_GB2312"/>
          <w:color w:val="auto"/>
          <w:sz w:val="32"/>
          <w:shd w:val="clear" w:color="auto" w:fill="FFFFFF"/>
        </w:rPr>
        <w:t>的</w:t>
      </w:r>
      <w:r>
        <w:rPr>
          <w:rFonts w:ascii="仿宋_GB2312" w:hAnsi="仿宋_GB2312" w:eastAsia="仿宋_GB2312"/>
          <w:color w:val="auto"/>
          <w:sz w:val="32"/>
          <w:shd w:val="clear" w:color="auto" w:fill="FFFFFF"/>
        </w:rPr>
        <w:t>补偿</w:t>
      </w:r>
      <w:r>
        <w:rPr>
          <w:rFonts w:hint="eastAsia" w:ascii="仿宋_GB2312" w:hAnsi="仿宋_GB2312" w:eastAsia="仿宋_GB2312"/>
          <w:color w:val="auto"/>
          <w:sz w:val="32"/>
          <w:shd w:val="clear" w:color="auto" w:fill="FFFFFF"/>
        </w:rPr>
        <w:t>参照</w:t>
      </w:r>
      <w:r>
        <w:rPr>
          <w:rFonts w:ascii="仿宋_GB2312" w:hAnsi="仿宋_GB2312" w:eastAsia="仿宋_GB2312"/>
          <w:color w:val="auto"/>
          <w:sz w:val="32"/>
          <w:shd w:val="clear" w:color="auto" w:fill="FFFFFF"/>
        </w:rPr>
        <w:t>惠府</w:t>
      </w:r>
      <w:r>
        <w:rPr>
          <w:rFonts w:hint="eastAsia" w:ascii="仿宋_GB2312" w:hAnsi="仿宋_GB2312" w:eastAsia="仿宋_GB2312"/>
          <w:color w:val="auto"/>
          <w:sz w:val="32"/>
          <w:shd w:val="clear" w:color="auto" w:fill="FFFFFF"/>
        </w:rPr>
        <w:t xml:space="preserve">〔2021〕27 </w:t>
      </w:r>
      <w:r>
        <w:rPr>
          <w:rFonts w:ascii="仿宋_GB2312" w:hAnsi="仿宋_GB2312" w:eastAsia="仿宋_GB2312"/>
          <w:color w:val="auto"/>
          <w:sz w:val="32"/>
          <w:shd w:val="clear" w:color="auto" w:fill="FFFFFF"/>
        </w:rPr>
        <w:t>号</w:t>
      </w:r>
      <w:r>
        <w:rPr>
          <w:rFonts w:hint="eastAsia" w:ascii="仿宋_GB2312" w:hAnsi="仿宋_GB2312" w:eastAsia="仿宋_GB2312"/>
          <w:color w:val="auto"/>
          <w:sz w:val="32"/>
          <w:shd w:val="clear" w:color="auto" w:fill="FFFFFF"/>
        </w:rPr>
        <w:t>规定的标准执行</w:t>
      </w:r>
      <w:r>
        <w:rPr>
          <w:rFonts w:hint="eastAsia" w:ascii="仿宋_GB2312" w:hAnsi="仿宋_GB2312" w:eastAsia="仿宋_GB2312"/>
          <w:color w:val="auto"/>
          <w:sz w:val="32"/>
          <w:shd w:val="clear" w:color="auto" w:fill="FFFFFF"/>
          <w:lang w:eastAsia="zh-CN"/>
        </w:rPr>
        <w:t>。</w:t>
      </w:r>
    </w:p>
    <w:p>
      <w:pPr>
        <w:shd w:val="solid" w:color="FFFFFF" w:fill="auto"/>
        <w:autoSpaceDN w:val="0"/>
        <w:spacing w:line="560" w:lineRule="exact"/>
        <w:ind w:firstLine="632" w:firstLineChars="200"/>
        <w:jc w:val="left"/>
        <w:rPr>
          <w:rFonts w:hint="eastAsia" w:ascii="黑体" w:hAnsi="黑体" w:eastAsia="黑体" w:cs="黑体"/>
          <w:color w:val="auto"/>
          <w:sz w:val="32"/>
          <w:szCs w:val="32"/>
          <w:lang w:val="en-US" w:eastAsia="zh-CN"/>
        </w:rPr>
      </w:pPr>
      <w:r>
        <w:rPr>
          <w:rFonts w:hint="eastAsia" w:ascii="仿宋_GB2312" w:hAnsi="仿宋_GB2312" w:eastAsia="仿宋_GB2312" w:cs="仿宋_GB2312"/>
          <w:color w:val="auto"/>
          <w:sz w:val="32"/>
          <w:shd w:val="clear" w:color="auto" w:fill="FFFFFF"/>
        </w:rPr>
        <w:t>村民住宅以外的住宅房屋一律按第十</w:t>
      </w:r>
      <w:r>
        <w:rPr>
          <w:rFonts w:hint="eastAsia" w:ascii="仿宋_GB2312" w:hAnsi="仿宋_GB2312" w:eastAsia="仿宋_GB2312" w:cs="仿宋_GB2312"/>
          <w:color w:val="auto"/>
          <w:sz w:val="32"/>
          <w:shd w:val="clear" w:color="auto" w:fill="FFFFFF"/>
          <w:lang w:val="en-US" w:eastAsia="zh-CN"/>
        </w:rPr>
        <w:t>一</w:t>
      </w:r>
      <w:r>
        <w:rPr>
          <w:rFonts w:hint="eastAsia" w:ascii="仿宋_GB2312" w:hAnsi="仿宋_GB2312" w:eastAsia="仿宋_GB2312" w:cs="仿宋_GB2312"/>
          <w:color w:val="auto"/>
          <w:sz w:val="32"/>
          <w:shd w:val="clear" w:color="auto" w:fill="FFFFFF"/>
        </w:rPr>
        <w:t>条标准采用货币补偿，不纳入安置范围。</w:t>
      </w:r>
    </w:p>
    <w:p>
      <w:pPr>
        <w:shd w:val="solid" w:color="FFFFFF" w:fill="auto"/>
        <w:autoSpaceDN w:val="0"/>
        <w:spacing w:line="560" w:lineRule="exact"/>
        <w:ind w:firstLine="632" w:firstLineChars="200"/>
        <w:jc w:val="left"/>
        <w:rPr>
          <w:rFonts w:hint="eastAsia" w:ascii="楷体_GB2312" w:hAnsi="楷体_GB2312" w:eastAsia="楷体_GB2312" w:cs="楷体_GB2312"/>
          <w:color w:val="auto"/>
          <w:sz w:val="32"/>
          <w:shd w:val="clear" w:color="auto" w:fill="FFFFFF"/>
          <w:lang w:val="en-US" w:eastAsia="zh-CN"/>
        </w:rPr>
      </w:pPr>
      <w:r>
        <w:rPr>
          <w:rFonts w:hint="eastAsia" w:ascii="楷体_GB2312" w:hAnsi="楷体_GB2312" w:eastAsia="楷体_GB2312" w:cs="楷体_GB2312"/>
          <w:color w:val="auto"/>
          <w:sz w:val="32"/>
          <w:shd w:val="clear" w:color="auto" w:fill="FFFFFF"/>
          <w:lang w:eastAsia="zh-CN"/>
        </w:rPr>
        <w:t>（</w:t>
      </w:r>
      <w:r>
        <w:rPr>
          <w:rFonts w:hint="eastAsia" w:ascii="楷体_GB2312" w:hAnsi="楷体_GB2312" w:eastAsia="楷体_GB2312" w:cs="楷体_GB2312"/>
          <w:color w:val="auto"/>
          <w:sz w:val="32"/>
          <w:shd w:val="clear" w:color="auto" w:fill="FFFFFF"/>
          <w:lang w:val="en-US" w:eastAsia="zh-CN"/>
        </w:rPr>
        <w:t>二</w:t>
      </w:r>
      <w:r>
        <w:rPr>
          <w:rFonts w:hint="eastAsia" w:ascii="楷体_GB2312" w:hAnsi="楷体_GB2312" w:eastAsia="楷体_GB2312" w:cs="楷体_GB2312"/>
          <w:color w:val="auto"/>
          <w:sz w:val="32"/>
          <w:shd w:val="clear" w:color="auto" w:fill="FFFFFF"/>
          <w:lang w:eastAsia="zh-CN"/>
        </w:rPr>
        <w:t>）</w:t>
      </w:r>
      <w:r>
        <w:rPr>
          <w:rFonts w:hint="eastAsia" w:ascii="楷体_GB2312" w:hAnsi="楷体_GB2312" w:eastAsia="楷体_GB2312" w:cs="楷体_GB2312"/>
          <w:color w:val="auto"/>
          <w:sz w:val="32"/>
          <w:shd w:val="clear" w:color="auto" w:fill="FFFFFF"/>
          <w:lang w:val="en-US" w:eastAsia="zh-CN"/>
        </w:rPr>
        <w:t>政策性补助</w:t>
      </w:r>
    </w:p>
    <w:p>
      <w:pPr>
        <w:shd w:val="solid" w:color="FFFFFF" w:fill="auto"/>
        <w:autoSpaceDN w:val="0"/>
        <w:spacing w:line="560" w:lineRule="exact"/>
        <w:ind w:firstLine="632" w:firstLineChars="200"/>
        <w:jc w:val="left"/>
        <w:rPr>
          <w:rFonts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hd w:val="clear" w:color="auto" w:fill="FFFFFF"/>
        </w:rPr>
        <w:t>1.村民住宅以外的住宅房屋权利人签订协议的，一次性签约补助参照第十</w:t>
      </w:r>
      <w:r>
        <w:rPr>
          <w:rFonts w:hint="eastAsia" w:ascii="仿宋_GB2312" w:hAnsi="仿宋_GB2312" w:eastAsia="仿宋_GB2312" w:cs="仿宋_GB2312"/>
          <w:color w:val="auto"/>
          <w:sz w:val="32"/>
          <w:shd w:val="clear" w:color="auto" w:fill="FFFFFF"/>
          <w:lang w:val="en-US" w:eastAsia="zh-CN"/>
        </w:rPr>
        <w:t>三</w:t>
      </w:r>
      <w:r>
        <w:rPr>
          <w:rFonts w:hint="eastAsia" w:ascii="仿宋_GB2312" w:hAnsi="仿宋_GB2312" w:eastAsia="仿宋_GB2312" w:cs="仿宋_GB2312"/>
          <w:color w:val="auto"/>
          <w:sz w:val="32"/>
          <w:shd w:val="clear" w:color="auto" w:fill="FFFFFF"/>
        </w:rPr>
        <w:t>条的规定执行，但每栋住宅计算一次性签约补助的建筑面积最高不超过480平方米；</w:t>
      </w:r>
    </w:p>
    <w:p>
      <w:pPr>
        <w:shd w:val="solid" w:color="FFFFFF" w:fill="auto"/>
        <w:autoSpaceDN w:val="0"/>
        <w:spacing w:line="560" w:lineRule="exact"/>
        <w:ind w:firstLine="632" w:firstLineChars="200"/>
        <w:jc w:val="left"/>
        <w:rPr>
          <w:rFonts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hd w:val="clear" w:color="auto" w:fill="FFFFFF"/>
        </w:rPr>
        <w:t>2.搬迁补助费按住宅房屋建筑面积计算，每平方米补助15元，每栋不足1500元的按1500元补助；</w:t>
      </w:r>
    </w:p>
    <w:p>
      <w:pPr>
        <w:shd w:val="solid" w:color="FFFFFF" w:fill="auto"/>
        <w:autoSpaceDN w:val="0"/>
        <w:spacing w:line="560" w:lineRule="exact"/>
        <w:ind w:firstLine="632" w:firstLineChars="200"/>
        <w:jc w:val="left"/>
        <w:rPr>
          <w:rFonts w:ascii="仿宋_GB2312" w:hAnsi="仿宋_GB2312" w:eastAsia="仿宋_GB2312" w:cs="仿宋_GB2312"/>
          <w:color w:val="auto"/>
          <w:sz w:val="32"/>
          <w:u w:val="none"/>
          <w:shd w:val="clear" w:color="auto" w:fill="FFFFFF"/>
        </w:rPr>
      </w:pPr>
      <w:r>
        <w:rPr>
          <w:rFonts w:hint="eastAsia" w:ascii="仿宋_GB2312" w:hAnsi="仿宋_GB2312" w:eastAsia="仿宋_GB2312" w:cs="仿宋_GB2312"/>
          <w:color w:val="auto"/>
          <w:sz w:val="32"/>
          <w:u w:val="none"/>
          <w:shd w:val="clear" w:color="auto" w:fill="FFFFFF"/>
        </w:rPr>
        <w:t>3.临时安置补助按2000元/栋·月标准补助，一次性补助12个月；</w:t>
      </w:r>
    </w:p>
    <w:p>
      <w:pPr>
        <w:shd w:val="solid" w:color="FFFFFF" w:fill="auto"/>
        <w:autoSpaceDN w:val="0"/>
        <w:spacing w:line="560" w:lineRule="exact"/>
        <w:ind w:firstLine="632" w:firstLineChars="200"/>
        <w:jc w:val="left"/>
        <w:rPr>
          <w:rFonts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hd w:val="clear" w:color="auto" w:fill="FFFFFF"/>
        </w:rPr>
        <w:t>4.限时搬迁奖励按第十</w:t>
      </w:r>
      <w:r>
        <w:rPr>
          <w:rFonts w:hint="eastAsia" w:ascii="仿宋_GB2312" w:hAnsi="仿宋_GB2312" w:eastAsia="仿宋_GB2312" w:cs="仿宋_GB2312"/>
          <w:color w:val="auto"/>
          <w:sz w:val="32"/>
          <w:shd w:val="clear" w:color="auto" w:fill="FFFFFF"/>
          <w:lang w:val="en-US" w:eastAsia="zh-CN"/>
        </w:rPr>
        <w:t>四</w:t>
      </w:r>
      <w:r>
        <w:rPr>
          <w:rFonts w:hint="eastAsia" w:ascii="仿宋_GB2312" w:hAnsi="仿宋_GB2312" w:eastAsia="仿宋_GB2312" w:cs="仿宋_GB2312"/>
          <w:color w:val="auto"/>
          <w:sz w:val="32"/>
          <w:shd w:val="clear" w:color="auto" w:fill="FFFFFF"/>
        </w:rPr>
        <w:t>条的规定执行，但每栋房屋最高奖励6万元；</w:t>
      </w:r>
    </w:p>
    <w:p>
      <w:pPr>
        <w:shd w:val="solid" w:color="FFFFFF" w:fill="auto"/>
        <w:autoSpaceDN w:val="0"/>
        <w:spacing w:line="560" w:lineRule="exact"/>
        <w:ind w:firstLine="632" w:firstLineChars="200"/>
        <w:jc w:val="left"/>
        <w:rPr>
          <w:rFonts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hd w:val="clear" w:color="auto" w:fill="FFFFFF"/>
        </w:rPr>
        <w:t>5.经认定可以给予停产停业损失补偿的，按惠府〔2021〕27 号第四十二条的规定执行。</w:t>
      </w:r>
    </w:p>
    <w:p>
      <w:pPr>
        <w:shd w:val="solid" w:color="FFFFFF" w:fill="auto"/>
        <w:autoSpaceDN w:val="0"/>
        <w:spacing w:line="560" w:lineRule="exact"/>
        <w:ind w:firstLine="632" w:firstLineChars="200"/>
        <w:jc w:val="left"/>
        <w:rPr>
          <w:rFonts w:ascii="仿宋_GB2312" w:hAnsi="仿宋_GB2312" w:eastAsia="仿宋_GB2312" w:cs="仿宋_GB2312"/>
          <w:strike w:val="0"/>
          <w:dstrike w:val="0"/>
          <w:color w:val="auto"/>
          <w:sz w:val="32"/>
          <w:shd w:val="clear" w:color="auto" w:fill="FFFFFF"/>
        </w:rPr>
      </w:pPr>
      <w:r>
        <w:rPr>
          <w:rFonts w:hint="eastAsia" w:ascii="黑体" w:hAnsi="黑体" w:eastAsia="黑体" w:cs="黑体"/>
          <w:strike w:val="0"/>
          <w:dstrike w:val="0"/>
          <w:color w:val="auto"/>
          <w:sz w:val="32"/>
          <w:shd w:val="clear" w:color="auto" w:fill="FFFFFF"/>
        </w:rPr>
        <w:t>第</w:t>
      </w:r>
      <w:r>
        <w:rPr>
          <w:rFonts w:hint="eastAsia" w:ascii="黑体" w:hAnsi="黑体" w:eastAsia="黑体" w:cs="黑体"/>
          <w:strike w:val="0"/>
          <w:dstrike w:val="0"/>
          <w:color w:val="auto"/>
          <w:sz w:val="32"/>
          <w:shd w:val="clear" w:color="auto" w:fill="FFFFFF"/>
          <w:lang w:val="en-US" w:eastAsia="zh-CN"/>
        </w:rPr>
        <w:t>十九</w:t>
      </w:r>
      <w:r>
        <w:rPr>
          <w:rFonts w:hint="eastAsia" w:ascii="黑体" w:hAnsi="黑体" w:eastAsia="黑体" w:cs="黑体"/>
          <w:strike w:val="0"/>
          <w:dstrike w:val="0"/>
          <w:color w:val="auto"/>
          <w:sz w:val="32"/>
          <w:shd w:val="clear" w:color="auto" w:fill="FFFFFF"/>
        </w:rPr>
        <w:t>条</w:t>
      </w:r>
      <w:r>
        <w:rPr>
          <w:rFonts w:hint="eastAsia" w:ascii="仿宋_GB2312" w:hAnsi="仿宋_GB2312" w:eastAsia="仿宋_GB2312" w:cs="仿宋_GB2312"/>
          <w:strike w:val="0"/>
          <w:dstrike w:val="0"/>
          <w:color w:val="auto"/>
          <w:sz w:val="32"/>
          <w:shd w:val="clear" w:color="auto" w:fill="FFFFFF"/>
        </w:rPr>
        <w:t xml:space="preserve">  非住宅房屋补偿</w:t>
      </w:r>
    </w:p>
    <w:p>
      <w:pPr>
        <w:shd w:val="solid" w:color="FFFFFF" w:fill="auto"/>
        <w:autoSpaceDN w:val="0"/>
        <w:spacing w:line="560" w:lineRule="exact"/>
        <w:ind w:firstLine="632" w:firstLineChars="200"/>
        <w:jc w:val="left"/>
        <w:rPr>
          <w:rFonts w:ascii="黑体" w:eastAsia="黑体"/>
          <w:strike w:val="0"/>
          <w:dstrike w:val="0"/>
          <w:color w:val="auto"/>
          <w:sz w:val="36"/>
          <w:szCs w:val="36"/>
        </w:rPr>
      </w:pPr>
      <w:r>
        <w:rPr>
          <w:rFonts w:hint="eastAsia" w:ascii="仿宋_GB2312" w:eastAsia="仿宋_GB2312"/>
          <w:strike w:val="0"/>
          <w:dstrike w:val="0"/>
          <w:color w:val="auto"/>
          <w:sz w:val="32"/>
          <w:szCs w:val="32"/>
        </w:rPr>
        <w:t>山子头、石井澳村庄整体搬迁</w:t>
      </w:r>
      <w:r>
        <w:rPr>
          <w:rFonts w:hint="eastAsia" w:ascii="仿宋_GB2312" w:hAnsi="仿宋_GB2312" w:eastAsia="仿宋_GB2312" w:cs="仿宋_GB2312"/>
          <w:strike w:val="0"/>
          <w:dstrike w:val="0"/>
          <w:color w:val="auto"/>
          <w:sz w:val="32"/>
          <w:shd w:val="clear" w:color="auto" w:fill="FFFFFF"/>
        </w:rPr>
        <w:t>范围内的非住宅房屋（包括商业、办公、工业、仓储等房屋），不给予一次性签约补助和临时安置补助费。</w:t>
      </w:r>
    </w:p>
    <w:p>
      <w:pPr>
        <w:shd w:val="solid" w:color="FFFFFF" w:fill="auto"/>
        <w:autoSpaceDN w:val="0"/>
        <w:spacing w:line="560" w:lineRule="exact"/>
        <w:ind w:firstLine="632" w:firstLineChars="200"/>
        <w:jc w:val="left"/>
        <w:rPr>
          <w:rFonts w:ascii="仿宋_GB2312" w:hAnsi="仿宋_GB2312" w:eastAsia="仿宋_GB2312" w:cs="仿宋_GB2312"/>
          <w:color w:val="auto"/>
          <w:sz w:val="32"/>
          <w:shd w:val="clear" w:color="auto" w:fill="FFFFFF"/>
        </w:rPr>
      </w:pPr>
    </w:p>
    <w:p>
      <w:pPr>
        <w:spacing w:line="560" w:lineRule="exact"/>
        <w:jc w:val="center"/>
        <w:rPr>
          <w:rFonts w:ascii="黑体" w:eastAsia="黑体"/>
          <w:color w:val="auto"/>
          <w:sz w:val="36"/>
        </w:rPr>
      </w:pPr>
      <w:r>
        <w:rPr>
          <w:rFonts w:hint="eastAsia" w:ascii="黑体" w:eastAsia="黑体"/>
          <w:color w:val="auto"/>
          <w:sz w:val="36"/>
          <w:szCs w:val="36"/>
        </w:rPr>
        <w:t>第</w:t>
      </w:r>
      <w:r>
        <w:rPr>
          <w:rFonts w:hint="eastAsia" w:ascii="黑体" w:eastAsia="黑体"/>
          <w:color w:val="auto"/>
          <w:sz w:val="36"/>
          <w:szCs w:val="36"/>
          <w:lang w:val="en-US" w:eastAsia="zh-CN"/>
        </w:rPr>
        <w:t>六</w:t>
      </w:r>
      <w:r>
        <w:rPr>
          <w:rFonts w:hint="eastAsia" w:ascii="黑体" w:eastAsia="黑体"/>
          <w:color w:val="auto"/>
          <w:sz w:val="36"/>
          <w:szCs w:val="36"/>
        </w:rPr>
        <w:t xml:space="preserve">章  </w:t>
      </w:r>
      <w:r>
        <w:rPr>
          <w:rFonts w:hint="eastAsia" w:ascii="黑体" w:eastAsia="黑体"/>
          <w:color w:val="auto"/>
          <w:sz w:val="36"/>
        </w:rPr>
        <w:t>安置方式</w:t>
      </w:r>
    </w:p>
    <w:p>
      <w:pPr>
        <w:spacing w:line="560" w:lineRule="exact"/>
        <w:ind w:firstLine="645"/>
        <w:rPr>
          <w:rFonts w:ascii="仿宋_GB2312" w:eastAsia="仿宋_GB2312"/>
          <w:color w:val="auto"/>
          <w:sz w:val="32"/>
          <w:szCs w:val="32"/>
        </w:rPr>
      </w:pPr>
    </w:p>
    <w:p>
      <w:pPr>
        <w:spacing w:line="560" w:lineRule="exact"/>
        <w:ind w:firstLine="645"/>
        <w:rPr>
          <w:rFonts w:hint="eastAsia" w:ascii="仿宋_GB2312" w:hAnsi="仿宋_GB2312" w:eastAsia="仿宋_GB2312" w:cs="仿宋_GB2312"/>
          <w:color w:val="auto"/>
          <w:sz w:val="32"/>
          <w:shd w:val="clear" w:color="auto" w:fill="FFFFFF"/>
        </w:rPr>
      </w:pPr>
      <w:r>
        <w:rPr>
          <w:rFonts w:hint="eastAsia" w:ascii="黑体" w:hAnsi="黑体" w:eastAsia="黑体"/>
          <w:color w:val="auto"/>
          <w:sz w:val="32"/>
          <w:shd w:val="clear" w:color="auto" w:fill="FFFFFF"/>
        </w:rPr>
        <w:t>第</w:t>
      </w:r>
      <w:r>
        <w:rPr>
          <w:rFonts w:hint="eastAsia" w:ascii="黑体" w:hAnsi="黑体" w:eastAsia="黑体"/>
          <w:color w:val="auto"/>
          <w:sz w:val="32"/>
          <w:shd w:val="clear" w:color="auto" w:fill="FFFFFF"/>
          <w:lang w:val="en-US" w:eastAsia="zh-CN"/>
        </w:rPr>
        <w:t>二十</w:t>
      </w:r>
      <w:r>
        <w:rPr>
          <w:rFonts w:hint="eastAsia" w:ascii="黑体" w:hAnsi="黑体" w:eastAsia="黑体"/>
          <w:color w:val="auto"/>
          <w:sz w:val="32"/>
          <w:shd w:val="clear" w:color="auto" w:fill="FFFFFF"/>
        </w:rPr>
        <w:t>条</w:t>
      </w:r>
      <w:r>
        <w:rPr>
          <w:rFonts w:hint="eastAsia" w:ascii="黑体" w:hAnsi="黑体" w:eastAsia="黑体"/>
          <w:color w:val="auto"/>
          <w:sz w:val="32"/>
          <w:shd w:val="clear" w:color="auto" w:fill="FFFFFF"/>
          <w:lang w:val="en-US" w:eastAsia="zh-CN"/>
        </w:rPr>
        <w:t xml:space="preserve">  </w:t>
      </w:r>
      <w:r>
        <w:rPr>
          <w:rFonts w:hint="eastAsia" w:ascii="仿宋_GB2312" w:hAnsi="仿宋_GB2312" w:eastAsia="仿宋_GB2312" w:cs="仿宋_GB2312"/>
          <w:color w:val="auto"/>
          <w:sz w:val="32"/>
          <w:shd w:val="clear" w:color="auto" w:fill="FFFFFF"/>
        </w:rPr>
        <w:t>安置方式</w:t>
      </w:r>
    </w:p>
    <w:p>
      <w:pPr>
        <w:spacing w:line="560" w:lineRule="exact"/>
        <w:ind w:firstLine="645"/>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本次搬迁采用征收人提供异地安置用地，村小组负责按法定程序集体决策安置用地的开发建设并解决村民上楼安置的模式。</w:t>
      </w:r>
      <w:r>
        <w:rPr>
          <w:rFonts w:hint="eastAsia" w:ascii="仿宋_GB2312" w:hAnsi="仿宋_GB2312" w:eastAsia="仿宋_GB2312" w:cs="仿宋_GB2312"/>
          <w:color w:val="auto"/>
          <w:sz w:val="32"/>
          <w:szCs w:val="32"/>
          <w:u w:val="none"/>
        </w:rPr>
        <w:t>霞涌街道办牵头协调、指导安置相关事宜，具体开发建设和上</w:t>
      </w:r>
      <w:r>
        <w:rPr>
          <w:rFonts w:hint="eastAsia" w:ascii="仿宋_GB2312" w:hAnsi="仿宋_GB2312" w:eastAsia="仿宋_GB2312" w:cs="仿宋_GB2312"/>
          <w:color w:val="auto"/>
          <w:sz w:val="32"/>
          <w:szCs w:val="32"/>
        </w:rPr>
        <w:t>楼安置方案由山子头、石井澳村小组依法依规制定和组织实施，并确保被征收人应有的合法权益落实到位，切实维护社会和谐稳定。</w:t>
      </w:r>
    </w:p>
    <w:p>
      <w:pPr>
        <w:pStyle w:val="15"/>
        <w:shd w:val="solid" w:color="FFFFFF" w:fill="auto"/>
        <w:autoSpaceDN w:val="0"/>
        <w:spacing w:line="540" w:lineRule="exact"/>
        <w:ind w:firstLine="632" w:firstLineChars="200"/>
        <w:rPr>
          <w:rFonts w:hint="default" w:ascii="仿宋_GB2312" w:hAnsi="仿宋_GB2312" w:eastAsia="仿宋_GB2312" w:cs="仿宋_GB2312"/>
          <w:color w:val="auto"/>
          <w:sz w:val="32"/>
          <w:szCs w:val="32"/>
        </w:rPr>
      </w:pPr>
      <w:r>
        <w:rPr>
          <w:rFonts w:ascii="仿宋_GB2312" w:hAnsi="仿宋_GB2312" w:eastAsia="仿宋_GB2312" w:cs="仿宋_GB2312"/>
          <w:color w:val="auto"/>
          <w:sz w:val="32"/>
          <w:szCs w:val="32"/>
        </w:rPr>
        <w:t>（一）本次搬迁按山子头、石井澳核准后的村庄规划用地，结合人口等情况</w:t>
      </w:r>
      <w:r>
        <w:rPr>
          <w:rFonts w:hint="eastAsia" w:ascii="仿宋_GB2312" w:hAnsi="仿宋_GB2312" w:eastAsia="仿宋_GB2312" w:cs="仿宋_GB2312"/>
          <w:color w:val="auto"/>
          <w:sz w:val="32"/>
          <w:szCs w:val="32"/>
          <w:lang w:val="en-US" w:eastAsia="zh-CN"/>
        </w:rPr>
        <w:t>折</w:t>
      </w:r>
      <w:r>
        <w:rPr>
          <w:rFonts w:ascii="仿宋_GB2312" w:hAnsi="仿宋_GB2312" w:eastAsia="仿宋_GB2312" w:cs="仿宋_GB2312"/>
          <w:color w:val="auto"/>
          <w:sz w:val="32"/>
          <w:szCs w:val="32"/>
        </w:rPr>
        <w:t>换成73625平方米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其中，山子头</w:t>
      </w:r>
      <w:r>
        <w:rPr>
          <w:rFonts w:hint="eastAsia" w:ascii="仿宋_GB2312" w:hAnsi="仿宋_GB2312" w:eastAsia="仿宋_GB2312" w:cs="仿宋_GB2312"/>
          <w:color w:val="auto"/>
          <w:sz w:val="32"/>
          <w:szCs w:val="32"/>
          <w:u w:val="none"/>
          <w:lang w:val="en-US" w:eastAsia="zh-CN"/>
        </w:rPr>
        <w:t>46081</w:t>
      </w:r>
      <w:r>
        <w:rPr>
          <w:rFonts w:hint="eastAsia" w:ascii="仿宋_GB2312" w:hAnsi="仿宋_GB2312" w:eastAsia="仿宋_GB2312" w:cs="仿宋_GB2312"/>
          <w:color w:val="auto"/>
          <w:sz w:val="32"/>
          <w:szCs w:val="32"/>
          <w:lang w:val="en-US" w:eastAsia="zh-CN"/>
        </w:rPr>
        <w:t>平方米，石井澳</w:t>
      </w:r>
      <w:r>
        <w:rPr>
          <w:rFonts w:hint="eastAsia" w:ascii="仿宋_GB2312" w:hAnsi="仿宋_GB2312" w:eastAsia="仿宋_GB2312" w:cs="仿宋_GB2312"/>
          <w:color w:val="auto"/>
          <w:sz w:val="32"/>
          <w:szCs w:val="32"/>
          <w:u w:val="none"/>
          <w:lang w:val="en-US" w:eastAsia="zh-CN"/>
        </w:rPr>
        <w:t>27544</w:t>
      </w:r>
      <w:r>
        <w:rPr>
          <w:rFonts w:hint="eastAsia" w:ascii="仿宋_GB2312" w:hAnsi="仿宋_GB2312" w:eastAsia="仿宋_GB2312" w:cs="仿宋_GB2312"/>
          <w:color w:val="auto"/>
          <w:sz w:val="32"/>
          <w:szCs w:val="32"/>
          <w:lang w:val="en-US" w:eastAsia="zh-CN"/>
        </w:rPr>
        <w:t>平方米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国有</w:t>
      </w:r>
      <w:r>
        <w:rPr>
          <w:rFonts w:ascii="仿宋_GB2312" w:hAnsi="仿宋_GB2312" w:eastAsia="仿宋_GB2312" w:cs="仿宋_GB2312"/>
          <w:color w:val="auto"/>
          <w:sz w:val="32"/>
          <w:szCs w:val="32"/>
        </w:rPr>
        <w:t>住宅用地，作为上楼安置用地，在</w:t>
      </w:r>
      <w:r>
        <w:rPr>
          <w:rFonts w:hint="eastAsia" w:ascii="仿宋_GB2312" w:hAnsi="仿宋_GB2312" w:eastAsia="仿宋_GB2312" w:cs="仿宋_GB2312"/>
          <w:color w:val="auto"/>
          <w:sz w:val="32"/>
          <w:u w:val="single"/>
          <w:shd w:val="clear" w:color="auto" w:fill="FFFFFF"/>
          <w:lang w:val="en-US" w:eastAsia="zh-CN"/>
        </w:rPr>
        <w:t xml:space="preserve">    </w:t>
      </w:r>
      <w:r>
        <w:rPr>
          <w:rFonts w:ascii="仿宋_GB2312" w:hAnsi="仿宋_GB2312" w:eastAsia="仿宋_GB2312" w:cs="仿宋_GB2312"/>
          <w:color w:val="auto"/>
          <w:sz w:val="32"/>
          <w:u w:val="single"/>
          <w:shd w:val="clear" w:color="auto" w:fill="FFFFFF"/>
        </w:rPr>
        <w:t>年</w:t>
      </w:r>
      <w:r>
        <w:rPr>
          <w:rFonts w:hint="eastAsia" w:ascii="仿宋_GB2312" w:hAnsi="仿宋_GB2312" w:eastAsia="仿宋_GB2312" w:cs="仿宋_GB2312"/>
          <w:color w:val="auto"/>
          <w:sz w:val="32"/>
          <w:u w:val="single"/>
          <w:shd w:val="clear" w:color="auto" w:fill="FFFFFF"/>
          <w:lang w:val="en-US" w:eastAsia="zh-CN"/>
        </w:rPr>
        <w:t xml:space="preserve">  </w:t>
      </w:r>
      <w:r>
        <w:rPr>
          <w:rFonts w:ascii="仿宋_GB2312" w:hAnsi="仿宋_GB2312" w:eastAsia="仿宋_GB2312" w:cs="仿宋_GB2312"/>
          <w:color w:val="auto"/>
          <w:sz w:val="32"/>
          <w:u w:val="single"/>
          <w:shd w:val="clear" w:color="auto" w:fill="FFFFFF"/>
        </w:rPr>
        <w:t>月</w:t>
      </w:r>
      <w:r>
        <w:rPr>
          <w:rFonts w:hint="eastAsia" w:ascii="仿宋_GB2312" w:hAnsi="仿宋_GB2312" w:eastAsia="仿宋_GB2312" w:cs="仿宋_GB2312"/>
          <w:color w:val="auto"/>
          <w:sz w:val="32"/>
          <w:u w:val="single"/>
          <w:shd w:val="clear" w:color="auto" w:fill="FFFFFF"/>
          <w:lang w:val="en-US" w:eastAsia="zh-CN"/>
        </w:rPr>
        <w:t xml:space="preserve">  </w:t>
      </w:r>
      <w:r>
        <w:rPr>
          <w:rFonts w:ascii="仿宋_GB2312" w:hAnsi="仿宋_GB2312" w:eastAsia="仿宋_GB2312" w:cs="仿宋_GB2312"/>
          <w:color w:val="auto"/>
          <w:sz w:val="32"/>
          <w:u w:val="single"/>
          <w:shd w:val="clear" w:color="auto" w:fill="FFFFFF"/>
        </w:rPr>
        <w:t>日</w:t>
      </w:r>
      <w:r>
        <w:rPr>
          <w:rFonts w:hint="eastAsia" w:ascii="仿宋_GB2312" w:hAnsi="仿宋_GB2312" w:eastAsia="仿宋_GB2312" w:cs="仿宋_GB2312"/>
          <w:color w:val="auto"/>
          <w:sz w:val="32"/>
          <w:u w:val="none"/>
          <w:shd w:val="clear" w:color="auto" w:fill="FFFFFF"/>
          <w:lang w:eastAsia="zh-CN"/>
        </w:rPr>
        <w:t>（</w:t>
      </w:r>
      <w:r>
        <w:rPr>
          <w:rFonts w:hint="eastAsia" w:ascii="仿宋_GB2312" w:hAnsi="仿宋_GB2312" w:eastAsia="仿宋_GB2312" w:cs="仿宋_GB2312"/>
          <w:color w:val="auto"/>
          <w:sz w:val="32"/>
          <w:u w:val="none"/>
          <w:shd w:val="clear" w:color="auto" w:fill="FFFFFF"/>
          <w:lang w:val="en-US" w:eastAsia="zh-CN"/>
        </w:rPr>
        <w:t>公告发布后1年内</w:t>
      </w:r>
      <w:r>
        <w:rPr>
          <w:rFonts w:hint="eastAsia" w:ascii="仿宋_GB2312" w:hAnsi="仿宋_GB2312" w:eastAsia="仿宋_GB2312" w:cs="仿宋_GB2312"/>
          <w:color w:val="auto"/>
          <w:sz w:val="32"/>
          <w:u w:val="none"/>
          <w:shd w:val="clear" w:color="auto" w:fill="FFFFFF"/>
          <w:lang w:eastAsia="zh-CN"/>
        </w:rPr>
        <w:t>）</w:t>
      </w:r>
      <w:r>
        <w:rPr>
          <w:rFonts w:ascii="仿宋_GB2312" w:hAnsi="仿宋_GB2312" w:eastAsia="仿宋_GB2312" w:cs="仿宋_GB2312"/>
          <w:color w:val="auto"/>
          <w:sz w:val="32"/>
          <w:shd w:val="clear" w:color="auto" w:fill="FFFFFF"/>
        </w:rPr>
        <w:t>前交</w:t>
      </w:r>
      <w:r>
        <w:rPr>
          <w:rFonts w:ascii="仿宋_GB2312" w:hAnsi="仿宋_GB2312" w:eastAsia="仿宋_GB2312" w:cs="仿宋_GB2312"/>
          <w:color w:val="auto"/>
          <w:sz w:val="32"/>
          <w:szCs w:val="32"/>
        </w:rPr>
        <w:t>付。安置用地由村小组自行按法定程序集体决策开发建设并解决村民上楼安置事宜。</w:t>
      </w:r>
    </w:p>
    <w:p>
      <w:pPr>
        <w:spacing w:line="560" w:lineRule="exact"/>
        <w:ind w:firstLine="645"/>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山子头、石井澳村场征收范围内的村民住宅、村民住宅以外的房屋项下的土地使用权价值和未建住宅的土地使用权价值不纳入政府评估补偿。山子头、石井澳村集体负责配合霞涌街道办、国土部门办理村民住宅、村民住宅以外的房屋项下土地使用权注销登记等手续。</w:t>
      </w:r>
    </w:p>
    <w:p>
      <w:pPr>
        <w:spacing w:line="560" w:lineRule="exact"/>
        <w:ind w:firstLine="645"/>
        <w:rPr>
          <w:rFonts w:ascii="仿宋_GB2312" w:hAnsi="仿宋_GB2312" w:eastAsia="仿宋_GB2312" w:cs="仿宋_GB2312"/>
          <w:color w:val="auto"/>
          <w:sz w:val="32"/>
          <w:shd w:val="clear" w:color="auto" w:fill="FFFFFF"/>
        </w:rPr>
      </w:pPr>
      <w:r>
        <w:rPr>
          <w:rFonts w:hint="eastAsia" w:ascii="仿宋_GB2312" w:hAnsi="仿宋_GB2312" w:eastAsia="仿宋_GB2312" w:cs="仿宋_GB2312"/>
          <w:color w:val="auto"/>
          <w:sz w:val="32"/>
          <w:szCs w:val="32"/>
        </w:rPr>
        <w:t>（三）山子头、石井澳村庄整体搬迁征收范围内的青苗及地上附着物的补偿按</w:t>
      </w:r>
      <w:r>
        <w:rPr>
          <w:rFonts w:hint="eastAsia" w:ascii="仿宋_GB2312" w:hAnsi="仿宋_GB2312" w:eastAsia="仿宋_GB2312" w:cs="仿宋_GB2312"/>
          <w:color w:val="auto"/>
          <w:sz w:val="32"/>
          <w:shd w:val="clear" w:color="auto" w:fill="FFFFFF"/>
        </w:rPr>
        <w:t>惠府〔2021〕27 号</w:t>
      </w:r>
      <w:r>
        <w:rPr>
          <w:rFonts w:hint="eastAsia" w:ascii="仿宋_GB2312" w:hAnsi="仿宋_GB2312" w:eastAsia="仿宋_GB2312" w:cs="仿宋_GB2312"/>
          <w:color w:val="auto"/>
          <w:sz w:val="32"/>
          <w:szCs w:val="32"/>
        </w:rPr>
        <w:t>的程序和标准执行，由霞涌街道办负责具体实施。</w:t>
      </w:r>
    </w:p>
    <w:p>
      <w:pPr>
        <w:spacing w:line="560" w:lineRule="exact"/>
        <w:jc w:val="center"/>
        <w:rPr>
          <w:rFonts w:ascii="黑体" w:eastAsia="黑体"/>
          <w:color w:val="auto"/>
          <w:sz w:val="32"/>
          <w:szCs w:val="32"/>
        </w:rPr>
      </w:pPr>
    </w:p>
    <w:p>
      <w:pPr>
        <w:spacing w:line="560" w:lineRule="exact"/>
        <w:jc w:val="center"/>
        <w:rPr>
          <w:rFonts w:ascii="黑体" w:eastAsia="黑体"/>
          <w:color w:val="auto"/>
          <w:sz w:val="36"/>
          <w:szCs w:val="36"/>
        </w:rPr>
      </w:pPr>
      <w:r>
        <w:rPr>
          <w:rFonts w:hint="eastAsia" w:ascii="黑体" w:eastAsia="黑体"/>
          <w:color w:val="auto"/>
          <w:sz w:val="36"/>
          <w:szCs w:val="36"/>
        </w:rPr>
        <w:t>第</w:t>
      </w:r>
      <w:r>
        <w:rPr>
          <w:rFonts w:hint="eastAsia" w:ascii="黑体" w:eastAsia="黑体"/>
          <w:color w:val="auto"/>
          <w:sz w:val="36"/>
          <w:szCs w:val="36"/>
          <w:lang w:val="en-US" w:eastAsia="zh-CN"/>
        </w:rPr>
        <w:t>七</w:t>
      </w:r>
      <w:r>
        <w:rPr>
          <w:rFonts w:hint="eastAsia" w:ascii="黑体" w:eastAsia="黑体"/>
          <w:color w:val="auto"/>
          <w:sz w:val="36"/>
          <w:szCs w:val="36"/>
        </w:rPr>
        <w:t>章  责任追究</w:t>
      </w:r>
    </w:p>
    <w:p>
      <w:pPr>
        <w:spacing w:line="560" w:lineRule="exact"/>
        <w:jc w:val="center"/>
        <w:rPr>
          <w:rFonts w:ascii="黑体" w:eastAsia="黑体"/>
          <w:color w:val="auto"/>
          <w:sz w:val="36"/>
          <w:szCs w:val="36"/>
        </w:rPr>
      </w:pPr>
    </w:p>
    <w:p>
      <w:pPr>
        <w:spacing w:line="560" w:lineRule="exact"/>
        <w:ind w:firstLine="645"/>
        <w:rPr>
          <w:rFonts w:ascii="仿宋_GB2312" w:eastAsia="仿宋_GB2312"/>
          <w:color w:val="auto"/>
          <w:sz w:val="32"/>
          <w:szCs w:val="32"/>
        </w:rPr>
      </w:pPr>
      <w:r>
        <w:rPr>
          <w:rFonts w:hint="eastAsia" w:ascii="黑体" w:eastAsia="黑体"/>
          <w:color w:val="auto"/>
          <w:sz w:val="32"/>
          <w:szCs w:val="32"/>
        </w:rPr>
        <w:t>第二十</w:t>
      </w:r>
      <w:r>
        <w:rPr>
          <w:rFonts w:hint="eastAsia" w:ascii="黑体" w:eastAsia="黑体"/>
          <w:color w:val="auto"/>
          <w:sz w:val="32"/>
          <w:szCs w:val="32"/>
          <w:lang w:val="en-US" w:eastAsia="zh-CN"/>
        </w:rPr>
        <w:t>一</w:t>
      </w:r>
      <w:r>
        <w:rPr>
          <w:rFonts w:hint="eastAsia" w:ascii="黑体" w:eastAsia="黑体"/>
          <w:color w:val="auto"/>
          <w:sz w:val="32"/>
          <w:szCs w:val="32"/>
        </w:rPr>
        <w:t>条</w:t>
      </w:r>
      <w:r>
        <w:rPr>
          <w:rFonts w:hint="eastAsia" w:ascii="仿宋_GB2312" w:eastAsia="仿宋_GB2312"/>
          <w:color w:val="auto"/>
          <w:sz w:val="32"/>
          <w:szCs w:val="32"/>
        </w:rPr>
        <w:t xml:space="preserve">  在房屋征收补偿安置工作中，有下列情形之一的，依法依纪追究相关人员责任；构成犯罪的，移送司法机关依法追究刑事责任：</w:t>
      </w:r>
    </w:p>
    <w:p>
      <w:pPr>
        <w:spacing w:line="560" w:lineRule="exact"/>
        <w:ind w:firstLine="632" w:firstLineChars="200"/>
        <w:rPr>
          <w:rFonts w:ascii="仿宋_GB2312" w:eastAsia="仿宋_GB2312"/>
          <w:color w:val="auto"/>
          <w:sz w:val="32"/>
          <w:szCs w:val="32"/>
        </w:rPr>
      </w:pPr>
      <w:r>
        <w:rPr>
          <w:rFonts w:hint="eastAsia" w:ascii="仿宋_GB2312" w:eastAsia="仿宋_GB2312"/>
          <w:color w:val="auto"/>
          <w:sz w:val="32"/>
          <w:szCs w:val="32"/>
        </w:rPr>
        <w:t>（一）违反国家和省、市房屋征收补偿政策，故意损害国家、集体利益或个人合法权益的；</w:t>
      </w:r>
    </w:p>
    <w:p>
      <w:pPr>
        <w:spacing w:line="560" w:lineRule="exact"/>
        <w:ind w:firstLine="632" w:firstLineChars="200"/>
        <w:rPr>
          <w:rFonts w:ascii="仿宋_GB2312" w:eastAsia="仿宋_GB2312"/>
          <w:color w:val="auto"/>
          <w:sz w:val="32"/>
          <w:szCs w:val="32"/>
        </w:rPr>
      </w:pPr>
      <w:r>
        <w:rPr>
          <w:rFonts w:hint="eastAsia" w:ascii="仿宋_GB2312" w:eastAsia="仿宋_GB2312"/>
          <w:color w:val="auto"/>
          <w:sz w:val="32"/>
          <w:szCs w:val="32"/>
        </w:rPr>
        <w:t>（二）违法违规将非村民住宅认定为村民住宅，将非一户一宅认定为一户一宅，将非住宅认定为住宅进行补偿的；</w:t>
      </w:r>
    </w:p>
    <w:p>
      <w:pPr>
        <w:spacing w:line="560" w:lineRule="exact"/>
        <w:ind w:firstLine="645"/>
        <w:rPr>
          <w:rFonts w:ascii="仿宋_GB2312" w:eastAsia="仿宋_GB2312"/>
          <w:color w:val="auto"/>
          <w:sz w:val="32"/>
          <w:szCs w:val="32"/>
        </w:rPr>
      </w:pPr>
      <w:r>
        <w:rPr>
          <w:rFonts w:hint="eastAsia" w:ascii="仿宋_GB2312" w:eastAsia="仿宋_GB2312"/>
          <w:color w:val="auto"/>
          <w:sz w:val="32"/>
          <w:szCs w:val="32"/>
        </w:rPr>
        <w:t>（三）玩忽职守，滥用职权，徇私舞弊的；</w:t>
      </w:r>
    </w:p>
    <w:p>
      <w:pPr>
        <w:spacing w:line="560" w:lineRule="exact"/>
        <w:ind w:firstLine="645"/>
        <w:rPr>
          <w:rFonts w:ascii="仿宋_GB2312" w:eastAsia="仿宋_GB2312"/>
          <w:color w:val="auto"/>
          <w:sz w:val="32"/>
          <w:szCs w:val="32"/>
        </w:rPr>
      </w:pPr>
      <w:r>
        <w:rPr>
          <w:rFonts w:hint="eastAsia" w:ascii="仿宋_GB2312" w:eastAsia="仿宋_GB2312"/>
          <w:color w:val="auto"/>
          <w:sz w:val="32"/>
          <w:szCs w:val="32"/>
        </w:rPr>
        <w:t>（四）与被征收人、权利人恶意串通、弄虚作假，骗取补偿或补助的；</w:t>
      </w:r>
    </w:p>
    <w:p>
      <w:pPr>
        <w:spacing w:line="560" w:lineRule="exact"/>
        <w:ind w:firstLine="645"/>
        <w:rPr>
          <w:rFonts w:ascii="仿宋_GB2312" w:eastAsia="仿宋_GB2312"/>
          <w:color w:val="auto"/>
          <w:sz w:val="32"/>
          <w:szCs w:val="32"/>
        </w:rPr>
      </w:pPr>
      <w:r>
        <w:rPr>
          <w:rFonts w:hint="eastAsia" w:ascii="仿宋_GB2312" w:eastAsia="仿宋_GB2312"/>
          <w:color w:val="auto"/>
          <w:sz w:val="32"/>
          <w:szCs w:val="32"/>
        </w:rPr>
        <w:t>（五）扰乱房屋征收补偿秩序、阻碍征地工作、妨碍依法执行公务的。</w:t>
      </w:r>
    </w:p>
    <w:p>
      <w:pPr>
        <w:spacing w:line="560" w:lineRule="exact"/>
        <w:ind w:firstLine="645"/>
        <w:rPr>
          <w:rFonts w:ascii="仿宋_GB2312" w:eastAsia="仿宋_GB2312"/>
          <w:color w:val="auto"/>
          <w:sz w:val="32"/>
          <w:szCs w:val="32"/>
        </w:rPr>
      </w:pPr>
      <w:r>
        <w:rPr>
          <w:rFonts w:hint="eastAsia" w:ascii="黑体" w:eastAsia="黑体"/>
          <w:color w:val="auto"/>
          <w:sz w:val="32"/>
          <w:szCs w:val="32"/>
        </w:rPr>
        <w:t>第二十</w:t>
      </w:r>
      <w:r>
        <w:rPr>
          <w:rFonts w:hint="eastAsia" w:ascii="黑体" w:eastAsia="黑体"/>
          <w:color w:val="auto"/>
          <w:sz w:val="32"/>
          <w:szCs w:val="32"/>
          <w:lang w:val="en-US" w:eastAsia="zh-CN"/>
        </w:rPr>
        <w:t>二</w:t>
      </w:r>
      <w:r>
        <w:rPr>
          <w:rFonts w:hint="eastAsia" w:ascii="黑体" w:eastAsia="黑体"/>
          <w:color w:val="auto"/>
          <w:sz w:val="32"/>
          <w:szCs w:val="32"/>
        </w:rPr>
        <w:t>条</w:t>
      </w:r>
      <w:r>
        <w:rPr>
          <w:rFonts w:hint="eastAsia" w:ascii="仿宋_GB2312" w:eastAsia="仿宋_GB2312"/>
          <w:color w:val="auto"/>
          <w:sz w:val="32"/>
          <w:szCs w:val="32"/>
        </w:rPr>
        <w:t xml:space="preserve">  被征收房屋所在的农村集体经济组织或个人，采取弄虚作假、伪造、涂改土地和房屋权属、户籍、人口等相关材料及其他违法行为骗取补偿或补助的，依法追回违法所得并依法依据追究相关人员责任；构成犯罪的，移送司法机关依法追究刑事责任。</w:t>
      </w:r>
    </w:p>
    <w:p>
      <w:pPr>
        <w:spacing w:line="560" w:lineRule="exact"/>
        <w:rPr>
          <w:rFonts w:ascii="仿宋_GB2312" w:eastAsia="仿宋_GB2312"/>
          <w:color w:val="auto"/>
          <w:sz w:val="32"/>
          <w:szCs w:val="32"/>
        </w:rPr>
      </w:pPr>
    </w:p>
    <w:p>
      <w:pPr>
        <w:spacing w:line="560" w:lineRule="exact"/>
        <w:jc w:val="center"/>
        <w:rPr>
          <w:rFonts w:hint="eastAsia" w:ascii="黑体" w:eastAsia="黑体"/>
          <w:color w:val="auto"/>
          <w:sz w:val="36"/>
          <w:szCs w:val="36"/>
        </w:rPr>
      </w:pPr>
      <w:r>
        <w:rPr>
          <w:rFonts w:hint="eastAsia" w:ascii="黑体" w:eastAsia="黑体"/>
          <w:color w:val="auto"/>
          <w:sz w:val="36"/>
          <w:szCs w:val="36"/>
        </w:rPr>
        <w:t>第</w:t>
      </w:r>
      <w:r>
        <w:rPr>
          <w:rFonts w:hint="eastAsia" w:ascii="黑体" w:eastAsia="黑体"/>
          <w:color w:val="auto"/>
          <w:sz w:val="36"/>
          <w:szCs w:val="36"/>
          <w:lang w:val="en-US" w:eastAsia="zh-CN"/>
        </w:rPr>
        <w:t>八</w:t>
      </w:r>
      <w:r>
        <w:rPr>
          <w:rFonts w:hint="eastAsia" w:ascii="黑体" w:eastAsia="黑体"/>
          <w:color w:val="auto"/>
          <w:sz w:val="36"/>
          <w:szCs w:val="36"/>
        </w:rPr>
        <w:t>章  附则</w:t>
      </w:r>
    </w:p>
    <w:p>
      <w:pPr>
        <w:spacing w:line="560" w:lineRule="exact"/>
        <w:jc w:val="center"/>
        <w:rPr>
          <w:rFonts w:ascii="黑体" w:eastAsia="黑体"/>
          <w:color w:val="auto"/>
          <w:sz w:val="36"/>
          <w:szCs w:val="36"/>
        </w:rPr>
      </w:pPr>
    </w:p>
    <w:p>
      <w:pPr>
        <w:spacing w:line="560" w:lineRule="exact"/>
        <w:ind w:firstLine="645"/>
        <w:rPr>
          <w:rFonts w:ascii="仿宋_GB2312" w:eastAsia="仿宋_GB2312"/>
          <w:color w:val="auto"/>
          <w:sz w:val="32"/>
          <w:szCs w:val="32"/>
        </w:rPr>
      </w:pPr>
      <w:r>
        <w:rPr>
          <w:rFonts w:hint="eastAsia" w:ascii="黑体" w:eastAsia="黑体"/>
          <w:color w:val="auto"/>
          <w:sz w:val="32"/>
          <w:szCs w:val="32"/>
        </w:rPr>
        <w:t>第二十</w:t>
      </w:r>
      <w:r>
        <w:rPr>
          <w:rFonts w:hint="eastAsia" w:ascii="黑体" w:eastAsia="黑体"/>
          <w:color w:val="auto"/>
          <w:sz w:val="32"/>
          <w:szCs w:val="32"/>
          <w:lang w:val="en-US" w:eastAsia="zh-CN"/>
        </w:rPr>
        <w:t>三</w:t>
      </w:r>
      <w:r>
        <w:rPr>
          <w:rFonts w:hint="eastAsia" w:ascii="黑体" w:eastAsia="黑体"/>
          <w:color w:val="auto"/>
          <w:sz w:val="32"/>
          <w:szCs w:val="32"/>
        </w:rPr>
        <w:t>条</w:t>
      </w:r>
      <w:r>
        <w:rPr>
          <w:rFonts w:hint="eastAsia" w:ascii="仿宋_GB2312" w:eastAsia="仿宋_GB2312"/>
          <w:color w:val="auto"/>
          <w:sz w:val="32"/>
          <w:szCs w:val="32"/>
        </w:rPr>
        <w:t xml:space="preserve">  霞涌街道办、区动迁办应建立、健全征收档案管理制度，加强对征收档案资料的管理。</w:t>
      </w:r>
    </w:p>
    <w:p>
      <w:pPr>
        <w:spacing w:line="560" w:lineRule="exact"/>
        <w:ind w:firstLine="632" w:firstLineChars="200"/>
        <w:rPr>
          <w:rFonts w:ascii="黑体" w:eastAsia="黑体"/>
          <w:color w:val="auto"/>
          <w:sz w:val="36"/>
          <w:szCs w:val="36"/>
        </w:rPr>
      </w:pPr>
      <w:r>
        <w:rPr>
          <w:rFonts w:hint="eastAsia" w:ascii="黑体" w:eastAsia="黑体"/>
          <w:color w:val="auto"/>
          <w:sz w:val="32"/>
          <w:szCs w:val="32"/>
        </w:rPr>
        <w:t>第二十</w:t>
      </w:r>
      <w:r>
        <w:rPr>
          <w:rFonts w:hint="eastAsia" w:ascii="黑体" w:eastAsia="黑体"/>
          <w:color w:val="auto"/>
          <w:sz w:val="32"/>
          <w:szCs w:val="32"/>
          <w:lang w:val="en-US" w:eastAsia="zh-CN"/>
        </w:rPr>
        <w:t>四</w:t>
      </w:r>
      <w:r>
        <w:rPr>
          <w:rFonts w:hint="eastAsia" w:ascii="黑体" w:eastAsia="黑体"/>
          <w:color w:val="auto"/>
          <w:sz w:val="32"/>
          <w:szCs w:val="32"/>
        </w:rPr>
        <w:t xml:space="preserve">条 </w:t>
      </w:r>
      <w:r>
        <w:rPr>
          <w:rFonts w:hint="eastAsia" w:ascii="仿宋_GB2312" w:eastAsia="仿宋_GB2312"/>
          <w:color w:val="auto"/>
          <w:sz w:val="32"/>
          <w:szCs w:val="32"/>
        </w:rPr>
        <w:t xml:space="preserve"> 房屋征收补偿安置资金应当全部用于房屋征收的补偿安置，不得挪作他用，财政部门应当加强对补偿安置资金使用的监督。</w:t>
      </w:r>
    </w:p>
    <w:p>
      <w:pPr>
        <w:spacing w:line="560" w:lineRule="exact"/>
        <w:ind w:firstLine="632" w:firstLineChars="200"/>
        <w:rPr>
          <w:rFonts w:ascii="仿宋_GB2312" w:eastAsia="仿宋_GB2312"/>
          <w:color w:val="auto"/>
          <w:sz w:val="32"/>
          <w:szCs w:val="32"/>
        </w:rPr>
      </w:pPr>
      <w:r>
        <w:rPr>
          <w:rFonts w:hint="eastAsia" w:ascii="黑体" w:eastAsia="黑体"/>
          <w:color w:val="auto"/>
          <w:sz w:val="32"/>
          <w:szCs w:val="32"/>
        </w:rPr>
        <w:t>第二十</w:t>
      </w:r>
      <w:r>
        <w:rPr>
          <w:rFonts w:hint="eastAsia" w:ascii="黑体" w:eastAsia="黑体"/>
          <w:color w:val="auto"/>
          <w:sz w:val="32"/>
          <w:szCs w:val="32"/>
          <w:lang w:val="en-US" w:eastAsia="zh-CN"/>
        </w:rPr>
        <w:t>五</w:t>
      </w:r>
      <w:r>
        <w:rPr>
          <w:rFonts w:hint="eastAsia" w:ascii="黑体" w:eastAsia="黑体"/>
          <w:color w:val="auto"/>
          <w:sz w:val="32"/>
          <w:szCs w:val="32"/>
        </w:rPr>
        <w:t>条</w:t>
      </w:r>
      <w:r>
        <w:rPr>
          <w:rFonts w:hint="eastAsia" w:ascii="仿宋_GB2312" w:eastAsia="仿宋_GB2312"/>
          <w:color w:val="auto"/>
          <w:sz w:val="32"/>
          <w:szCs w:val="32"/>
        </w:rPr>
        <w:t xml:space="preserve">  本方案未规定的，按照省、市有关规定执行。</w:t>
      </w:r>
    </w:p>
    <w:p>
      <w:pPr>
        <w:spacing w:line="560" w:lineRule="exact"/>
        <w:rPr>
          <w:rFonts w:ascii="仿宋_GB2312" w:eastAsia="仿宋_GB2312"/>
          <w:color w:val="auto"/>
          <w:sz w:val="32"/>
          <w:szCs w:val="32"/>
        </w:rPr>
      </w:pPr>
    </w:p>
    <w:p>
      <w:pPr>
        <w:spacing w:line="560" w:lineRule="exact"/>
        <w:ind w:firstLine="620" w:firstLineChars="196"/>
        <w:rPr>
          <w:rFonts w:ascii="仿宋_GB2312" w:eastAsia="仿宋_GB2312"/>
          <w:color w:val="auto"/>
          <w:sz w:val="32"/>
          <w:szCs w:val="32"/>
        </w:rPr>
      </w:pPr>
      <w:r>
        <w:rPr>
          <w:rFonts w:hint="eastAsia" w:ascii="黑体" w:eastAsia="黑体"/>
          <w:color w:val="auto"/>
          <w:sz w:val="32"/>
          <w:szCs w:val="32"/>
        </w:rPr>
        <w:t>第二十</w:t>
      </w:r>
      <w:r>
        <w:rPr>
          <w:rFonts w:hint="eastAsia" w:ascii="黑体" w:eastAsia="黑体"/>
          <w:color w:val="auto"/>
          <w:sz w:val="32"/>
          <w:szCs w:val="32"/>
          <w:lang w:val="en-US" w:eastAsia="zh-CN"/>
        </w:rPr>
        <w:t>六</w:t>
      </w:r>
      <w:r>
        <w:rPr>
          <w:rFonts w:hint="eastAsia" w:ascii="黑体" w:eastAsia="黑体"/>
          <w:color w:val="auto"/>
          <w:sz w:val="32"/>
          <w:szCs w:val="32"/>
        </w:rPr>
        <w:t>条</w:t>
      </w:r>
      <w:r>
        <w:rPr>
          <w:rFonts w:hint="eastAsia" w:ascii="仿宋_GB2312" w:eastAsia="仿宋_GB2312"/>
          <w:color w:val="auto"/>
          <w:sz w:val="32"/>
          <w:szCs w:val="32"/>
        </w:rPr>
        <w:t xml:space="preserve">  本方案由惠州大亚湾经济技术开发区管理委员会解释。</w:t>
      </w:r>
    </w:p>
    <w:p>
      <w:pPr>
        <w:spacing w:line="560" w:lineRule="exact"/>
        <w:ind w:firstLine="620" w:firstLineChars="196"/>
        <w:rPr>
          <w:rFonts w:ascii="仿宋_GB2312" w:eastAsia="仿宋_GB2312"/>
          <w:color w:val="auto"/>
          <w:sz w:val="32"/>
          <w:szCs w:val="32"/>
        </w:rPr>
      </w:pPr>
      <w:r>
        <w:rPr>
          <w:rFonts w:hint="eastAsia" w:ascii="黑体" w:eastAsia="黑体"/>
          <w:color w:val="auto"/>
          <w:sz w:val="32"/>
          <w:szCs w:val="32"/>
        </w:rPr>
        <w:t>第二十</w:t>
      </w:r>
      <w:r>
        <w:rPr>
          <w:rFonts w:hint="eastAsia" w:ascii="黑体" w:eastAsia="黑体"/>
          <w:color w:val="auto"/>
          <w:sz w:val="32"/>
          <w:szCs w:val="32"/>
          <w:lang w:val="en-US" w:eastAsia="zh-CN"/>
        </w:rPr>
        <w:t>七</w:t>
      </w:r>
      <w:r>
        <w:rPr>
          <w:rFonts w:hint="eastAsia" w:ascii="黑体" w:eastAsia="黑体"/>
          <w:color w:val="auto"/>
          <w:sz w:val="32"/>
          <w:szCs w:val="32"/>
        </w:rPr>
        <w:t>条</w:t>
      </w:r>
      <w:r>
        <w:rPr>
          <w:rFonts w:hint="eastAsia" w:ascii="仿宋_GB2312" w:eastAsia="仿宋_GB2312"/>
          <w:b/>
          <w:color w:val="auto"/>
          <w:sz w:val="32"/>
          <w:szCs w:val="32"/>
        </w:rPr>
        <w:t xml:space="preserve"> </w:t>
      </w:r>
      <w:r>
        <w:rPr>
          <w:rFonts w:hint="eastAsia" w:ascii="仿宋_GB2312" w:eastAsia="仿宋_GB2312"/>
          <w:color w:val="auto"/>
          <w:sz w:val="32"/>
          <w:szCs w:val="32"/>
        </w:rPr>
        <w:t xml:space="preserve"> 本方案自颁布之日起施行。</w:t>
      </w:r>
    </w:p>
    <w:p>
      <w:pPr>
        <w:spacing w:line="560" w:lineRule="exact"/>
        <w:ind w:firstLine="4883" w:firstLineChars="1545"/>
        <w:rPr>
          <w:rFonts w:ascii="仿宋_GB2312" w:eastAsia="仿宋_GB2312"/>
          <w:color w:val="auto"/>
          <w:sz w:val="32"/>
          <w:szCs w:val="32"/>
        </w:rPr>
      </w:pPr>
    </w:p>
    <w:p>
      <w:pPr>
        <w:spacing w:line="560" w:lineRule="exact"/>
        <w:ind w:firstLine="632" w:firstLineChars="200"/>
        <w:rPr>
          <w:rFonts w:ascii="仿宋_GB2312" w:hAnsi="宋体" w:eastAsia="仿宋_GB2312" w:cs="宋体"/>
          <w:color w:val="auto"/>
          <w:sz w:val="32"/>
          <w:szCs w:val="32"/>
        </w:rPr>
      </w:pPr>
      <w:r>
        <w:rPr>
          <w:rFonts w:hint="eastAsia" w:ascii="仿宋_GB2312" w:hAnsi="宋体" w:eastAsia="仿宋_GB2312" w:cs="宋体"/>
          <w:color w:val="auto"/>
          <w:sz w:val="32"/>
          <w:szCs w:val="32"/>
        </w:rPr>
        <w:t>附件：住宅房屋补偿标准</w:t>
      </w:r>
    </w:p>
    <w:p>
      <w:pPr>
        <w:spacing w:line="560" w:lineRule="exact"/>
        <w:ind w:firstLine="632" w:firstLineChars="200"/>
        <w:rPr>
          <w:rFonts w:ascii="仿宋_GB2312" w:hAnsi="宋体" w:eastAsia="仿宋_GB2312" w:cs="宋体"/>
          <w:color w:val="auto"/>
          <w:sz w:val="32"/>
          <w:szCs w:val="32"/>
        </w:rPr>
      </w:pPr>
    </w:p>
    <w:p>
      <w:pPr>
        <w:spacing w:line="560" w:lineRule="exact"/>
        <w:ind w:firstLine="632" w:firstLineChars="200"/>
        <w:rPr>
          <w:rFonts w:ascii="仿宋_GB2312" w:hAnsi="宋体" w:eastAsia="仿宋_GB2312" w:cs="宋体"/>
          <w:color w:val="auto"/>
          <w:sz w:val="32"/>
          <w:szCs w:val="32"/>
        </w:rPr>
        <w:sectPr>
          <w:headerReference r:id="rId3" w:type="default"/>
          <w:footerReference r:id="rId4" w:type="default"/>
          <w:footerReference r:id="rId5" w:type="even"/>
          <w:pgSz w:w="11906" w:h="16838"/>
          <w:pgMar w:top="2098" w:right="1474" w:bottom="1984" w:left="1587" w:header="680" w:footer="680" w:gutter="0"/>
          <w:cols w:space="720" w:num="1"/>
          <w:docGrid w:type="linesAndChars" w:linePitch="577" w:charSpace="-849"/>
        </w:sectPr>
      </w:pPr>
    </w:p>
    <w:p>
      <w:pPr>
        <w:rPr>
          <w:rFonts w:ascii="仿宋_GB2312"/>
          <w:color w:val="auto"/>
          <w:sz w:val="28"/>
          <w:szCs w:val="28"/>
        </w:rPr>
      </w:pPr>
      <w:r>
        <w:rPr>
          <w:rFonts w:hint="eastAsia" w:ascii="仿宋_GB2312"/>
          <w:color w:val="auto"/>
          <w:sz w:val="28"/>
          <w:szCs w:val="28"/>
        </w:rPr>
        <w:t>附</w:t>
      </w:r>
      <w:r>
        <w:rPr>
          <w:rFonts w:hint="eastAsia" w:ascii="仿宋_GB2312" w:hAnsi="宋体" w:eastAsia="仿宋_GB2312" w:cs="宋体"/>
          <w:color w:val="auto"/>
          <w:sz w:val="32"/>
          <w:szCs w:val="32"/>
        </w:rPr>
        <w:t>件：</w:t>
      </w:r>
    </w:p>
    <w:p>
      <w:pPr>
        <w:spacing w:line="360" w:lineRule="exact"/>
        <w:jc w:val="center"/>
        <w:rPr>
          <w:rFonts w:ascii="黑体" w:hAnsi="黑体" w:eastAsia="黑体" w:cs="黑体"/>
          <w:color w:val="auto"/>
          <w:sz w:val="24"/>
        </w:rPr>
      </w:pPr>
      <w:r>
        <w:rPr>
          <w:rFonts w:hint="eastAsia" w:ascii="黑体" w:hAnsi="黑体" w:eastAsia="黑体" w:cs="黑体"/>
          <w:color w:val="auto"/>
          <w:sz w:val="24"/>
        </w:rPr>
        <w:t>住宅房屋补偿标准表</w:t>
      </w:r>
    </w:p>
    <w:p>
      <w:pPr>
        <w:spacing w:line="360" w:lineRule="exact"/>
        <w:jc w:val="center"/>
        <w:rPr>
          <w:rFonts w:ascii="黑体" w:hAnsi="黑体" w:eastAsia="黑体" w:cs="黑体"/>
          <w:color w:val="auto"/>
          <w:sz w:val="24"/>
        </w:rPr>
      </w:pPr>
    </w:p>
    <w:tbl>
      <w:tblPr>
        <w:tblStyle w:val="8"/>
        <w:tblW w:w="10018" w:type="dxa"/>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6"/>
        <w:gridCol w:w="980"/>
        <w:gridCol w:w="6820"/>
        <w:gridCol w:w="1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026" w:type="dxa"/>
            <w:noWrap w:val="0"/>
            <w:vAlign w:val="center"/>
          </w:tcPr>
          <w:p>
            <w:pPr>
              <w:spacing w:line="360" w:lineRule="exact"/>
              <w:jc w:val="center"/>
              <w:rPr>
                <w:rFonts w:ascii="黑体" w:hAnsi="黑体" w:eastAsia="黑体" w:cs="黑体"/>
                <w:color w:val="auto"/>
                <w:sz w:val="24"/>
              </w:rPr>
            </w:pPr>
            <w:r>
              <w:rPr>
                <w:rFonts w:hint="eastAsia" w:ascii="黑体" w:hAnsi="黑体" w:eastAsia="黑体" w:cs="黑体"/>
                <w:color w:val="auto"/>
                <w:sz w:val="24"/>
              </w:rPr>
              <w:t>补偿</w:t>
            </w:r>
          </w:p>
          <w:p>
            <w:pPr>
              <w:spacing w:line="360" w:lineRule="exact"/>
              <w:jc w:val="center"/>
              <w:rPr>
                <w:rFonts w:ascii="黑体" w:hAnsi="黑体" w:eastAsia="黑体" w:cs="黑体"/>
                <w:color w:val="auto"/>
                <w:sz w:val="24"/>
              </w:rPr>
            </w:pPr>
            <w:r>
              <w:rPr>
                <w:rFonts w:hint="eastAsia" w:ascii="黑体" w:hAnsi="黑体" w:eastAsia="黑体" w:cs="黑体"/>
                <w:color w:val="auto"/>
                <w:sz w:val="24"/>
              </w:rPr>
              <w:t>项目</w:t>
            </w:r>
          </w:p>
        </w:tc>
        <w:tc>
          <w:tcPr>
            <w:tcW w:w="980" w:type="dxa"/>
            <w:noWrap w:val="0"/>
            <w:vAlign w:val="center"/>
          </w:tcPr>
          <w:p>
            <w:pPr>
              <w:spacing w:line="360" w:lineRule="exact"/>
              <w:jc w:val="center"/>
              <w:rPr>
                <w:rFonts w:ascii="黑体" w:hAnsi="黑体" w:eastAsia="黑体" w:cs="黑体"/>
                <w:color w:val="auto"/>
                <w:sz w:val="24"/>
              </w:rPr>
            </w:pPr>
            <w:r>
              <w:rPr>
                <w:rFonts w:hint="eastAsia" w:ascii="黑体" w:hAnsi="黑体" w:eastAsia="黑体" w:cs="黑体"/>
                <w:color w:val="auto"/>
                <w:sz w:val="24"/>
              </w:rPr>
              <w:t>类别</w:t>
            </w:r>
          </w:p>
        </w:tc>
        <w:tc>
          <w:tcPr>
            <w:tcW w:w="6820" w:type="dxa"/>
            <w:noWrap w:val="0"/>
            <w:vAlign w:val="center"/>
          </w:tcPr>
          <w:p>
            <w:pPr>
              <w:spacing w:line="360" w:lineRule="exact"/>
              <w:jc w:val="center"/>
              <w:rPr>
                <w:rFonts w:ascii="黑体" w:hAnsi="黑体" w:eastAsia="黑体" w:cs="黑体"/>
                <w:color w:val="auto"/>
                <w:sz w:val="24"/>
              </w:rPr>
            </w:pPr>
            <w:r>
              <w:rPr>
                <w:rFonts w:hint="eastAsia" w:ascii="黑体" w:hAnsi="黑体" w:eastAsia="黑体" w:cs="黑体"/>
                <w:color w:val="auto"/>
                <w:sz w:val="24"/>
              </w:rPr>
              <w:t>房屋特征</w:t>
            </w:r>
          </w:p>
        </w:tc>
        <w:tc>
          <w:tcPr>
            <w:tcW w:w="1192" w:type="dxa"/>
            <w:noWrap w:val="0"/>
            <w:vAlign w:val="center"/>
          </w:tcPr>
          <w:p>
            <w:pPr>
              <w:spacing w:line="360" w:lineRule="exact"/>
              <w:jc w:val="center"/>
              <w:rPr>
                <w:rFonts w:ascii="黑体" w:hAnsi="黑体" w:eastAsia="黑体" w:cs="黑体"/>
                <w:color w:val="auto"/>
                <w:sz w:val="24"/>
              </w:rPr>
            </w:pPr>
            <w:r>
              <w:rPr>
                <w:rFonts w:hint="eastAsia" w:ascii="黑体" w:hAnsi="黑体" w:eastAsia="黑体" w:cs="黑体"/>
                <w:color w:val="auto"/>
                <w:sz w:val="24"/>
              </w:rPr>
              <w:t>补偿标准</w:t>
            </w:r>
          </w:p>
          <w:p>
            <w:pPr>
              <w:spacing w:line="360" w:lineRule="exact"/>
              <w:jc w:val="center"/>
              <w:rPr>
                <w:rFonts w:ascii="黑体" w:hAnsi="黑体" w:eastAsia="黑体" w:cs="黑体"/>
                <w:color w:val="auto"/>
                <w:sz w:val="24"/>
              </w:rPr>
            </w:pPr>
            <w:r>
              <w:rPr>
                <w:rFonts w:hint="eastAsia" w:ascii="黑体" w:hAnsi="黑体" w:eastAsia="黑体" w:cs="黑体"/>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6" w:type="dxa"/>
            <w:vMerge w:val="restart"/>
            <w:noWrap w:val="0"/>
            <w:vAlign w:val="center"/>
          </w:tcPr>
          <w:p>
            <w:pPr>
              <w:spacing w:line="320" w:lineRule="exact"/>
              <w:jc w:val="center"/>
              <w:rPr>
                <w:rFonts w:ascii="黑体" w:hAnsi="黑体" w:eastAsia="黑体" w:cs="黑体"/>
                <w:color w:val="auto"/>
                <w:sz w:val="24"/>
              </w:rPr>
            </w:pPr>
            <w:r>
              <w:rPr>
                <w:rFonts w:hint="eastAsia" w:ascii="黑体" w:hAnsi="黑体" w:eastAsia="黑体" w:cs="黑体"/>
                <w:color w:val="auto"/>
                <w:sz w:val="24"/>
              </w:rPr>
              <w:t>框架</w:t>
            </w:r>
          </w:p>
          <w:p>
            <w:pPr>
              <w:spacing w:line="320" w:lineRule="exact"/>
              <w:jc w:val="center"/>
              <w:rPr>
                <w:rFonts w:ascii="黑体" w:hAnsi="黑体" w:eastAsia="黑体" w:cs="黑体"/>
                <w:color w:val="auto"/>
                <w:sz w:val="24"/>
              </w:rPr>
            </w:pPr>
            <w:r>
              <w:rPr>
                <w:rFonts w:hint="eastAsia" w:ascii="黑体" w:hAnsi="黑体" w:eastAsia="黑体" w:cs="黑体"/>
                <w:color w:val="auto"/>
                <w:sz w:val="24"/>
              </w:rPr>
              <w:t>结构</w:t>
            </w:r>
          </w:p>
        </w:tc>
        <w:tc>
          <w:tcPr>
            <w:tcW w:w="980"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一等</w:t>
            </w: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外墙全贴彩面砖；内墙及天花装饰；楼地面装饰；铝合金窗、镶板或夹板门；有防盗网；室内装有电气、供水、排水及排污设施。</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2950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6" w:type="dxa"/>
            <w:vMerge w:val="continue"/>
            <w:noWrap w:val="0"/>
            <w:vAlign w:val="center"/>
          </w:tcPr>
          <w:p>
            <w:pPr>
              <w:spacing w:line="320" w:lineRule="exact"/>
              <w:jc w:val="center"/>
              <w:rPr>
                <w:rFonts w:ascii="黑体" w:hAnsi="黑体" w:eastAsia="黑体" w:cs="黑体"/>
                <w:color w:val="auto"/>
                <w:sz w:val="24"/>
              </w:rPr>
            </w:pPr>
          </w:p>
        </w:tc>
        <w:tc>
          <w:tcPr>
            <w:tcW w:w="980"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二等</w:t>
            </w: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正面贴，内墙及天花装饰；楼地面装饰；铝钢窗、镶板或夹板门；有防盗网；室内装有电气、供水、排水及排污设施。</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2850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6" w:type="dxa"/>
            <w:vMerge w:val="continue"/>
            <w:noWrap w:val="0"/>
            <w:vAlign w:val="center"/>
          </w:tcPr>
          <w:p>
            <w:pPr>
              <w:spacing w:line="320" w:lineRule="exact"/>
              <w:jc w:val="center"/>
              <w:rPr>
                <w:rFonts w:ascii="黑体" w:hAnsi="黑体" w:eastAsia="黑体" w:cs="黑体"/>
                <w:color w:val="auto"/>
                <w:sz w:val="24"/>
              </w:rPr>
            </w:pPr>
          </w:p>
        </w:tc>
        <w:tc>
          <w:tcPr>
            <w:tcW w:w="980"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三等</w:t>
            </w: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外墙、内墙及天花一般抹灰；楼地面装饰；铝钢窗、镶板或其他木门；有防盗网；室内装有电气、供水、排水及排污设施。</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2650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6" w:type="dxa"/>
            <w:vMerge w:val="continue"/>
            <w:noWrap w:val="0"/>
            <w:vAlign w:val="center"/>
          </w:tcPr>
          <w:p>
            <w:pPr>
              <w:spacing w:line="320" w:lineRule="exact"/>
              <w:jc w:val="center"/>
              <w:rPr>
                <w:rFonts w:ascii="黑体" w:hAnsi="黑体" w:eastAsia="黑体" w:cs="黑体"/>
                <w:color w:val="auto"/>
                <w:sz w:val="24"/>
              </w:rPr>
            </w:pPr>
          </w:p>
        </w:tc>
        <w:tc>
          <w:tcPr>
            <w:tcW w:w="980"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四等</w:t>
            </w: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外墙、内墙未装饰（清水墙）；楼地面未抹水泥砂浆；未安装门窗；室内未安装电气、供水、排水及排污设施。</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26" w:type="dxa"/>
            <w:vMerge w:val="continue"/>
            <w:noWrap w:val="0"/>
            <w:vAlign w:val="center"/>
          </w:tcPr>
          <w:p>
            <w:pPr>
              <w:spacing w:line="320" w:lineRule="exact"/>
              <w:jc w:val="center"/>
              <w:rPr>
                <w:rFonts w:ascii="黑体" w:hAnsi="黑体" w:eastAsia="黑体" w:cs="黑体"/>
                <w:color w:val="auto"/>
                <w:sz w:val="24"/>
              </w:rPr>
            </w:pPr>
          </w:p>
        </w:tc>
        <w:tc>
          <w:tcPr>
            <w:tcW w:w="980"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五等</w:t>
            </w: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仅浇筑框架部分。</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6" w:type="dxa"/>
            <w:vMerge w:val="restart"/>
            <w:noWrap w:val="0"/>
            <w:vAlign w:val="center"/>
          </w:tcPr>
          <w:p>
            <w:pPr>
              <w:spacing w:line="320" w:lineRule="exact"/>
              <w:jc w:val="center"/>
              <w:rPr>
                <w:rFonts w:ascii="黑体" w:hAnsi="黑体" w:eastAsia="黑体" w:cs="黑体"/>
                <w:color w:val="auto"/>
                <w:sz w:val="24"/>
              </w:rPr>
            </w:pPr>
            <w:r>
              <w:rPr>
                <w:rFonts w:hint="eastAsia" w:ascii="黑体" w:hAnsi="黑体" w:eastAsia="黑体" w:cs="黑体"/>
                <w:color w:val="auto"/>
                <w:sz w:val="24"/>
              </w:rPr>
              <w:t>混合</w:t>
            </w:r>
          </w:p>
          <w:p>
            <w:pPr>
              <w:spacing w:line="320" w:lineRule="exact"/>
              <w:jc w:val="center"/>
              <w:rPr>
                <w:rFonts w:ascii="黑体" w:hAnsi="黑体" w:eastAsia="黑体" w:cs="黑体"/>
                <w:color w:val="auto"/>
                <w:sz w:val="24"/>
              </w:rPr>
            </w:pPr>
            <w:r>
              <w:rPr>
                <w:rFonts w:hint="eastAsia" w:ascii="黑体" w:hAnsi="黑体" w:eastAsia="黑体" w:cs="黑体"/>
                <w:color w:val="auto"/>
                <w:sz w:val="24"/>
              </w:rPr>
              <w:t>结构</w:t>
            </w:r>
          </w:p>
        </w:tc>
        <w:tc>
          <w:tcPr>
            <w:tcW w:w="980"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一等</w:t>
            </w: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外墙全贴彩面砖；内墙及天花装饰；楼地面装饰；铝合金窗、镶板或夹板门；有防盗网；室内装有电气、供水、排水及排污设施。</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2850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6" w:type="dxa"/>
            <w:vMerge w:val="continue"/>
            <w:noWrap w:val="0"/>
            <w:vAlign w:val="center"/>
          </w:tcPr>
          <w:p>
            <w:pPr>
              <w:spacing w:line="320" w:lineRule="exact"/>
              <w:jc w:val="center"/>
              <w:rPr>
                <w:rFonts w:ascii="黑体" w:hAnsi="黑体" w:eastAsia="黑体" w:cs="黑体"/>
                <w:color w:val="auto"/>
                <w:sz w:val="24"/>
              </w:rPr>
            </w:pPr>
          </w:p>
        </w:tc>
        <w:tc>
          <w:tcPr>
            <w:tcW w:w="980"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二等</w:t>
            </w: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正面贴，内墙及天花装饰；楼地面装饰；铝钢窗、镶板或夹板门；有防盗网；室内装有电气、供水、排水及排污设施。</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2750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6" w:type="dxa"/>
            <w:vMerge w:val="continue"/>
            <w:noWrap w:val="0"/>
            <w:vAlign w:val="center"/>
          </w:tcPr>
          <w:p>
            <w:pPr>
              <w:spacing w:line="320" w:lineRule="exact"/>
              <w:jc w:val="center"/>
              <w:rPr>
                <w:rFonts w:ascii="黑体" w:hAnsi="黑体" w:eastAsia="黑体" w:cs="黑体"/>
                <w:color w:val="auto"/>
                <w:sz w:val="24"/>
              </w:rPr>
            </w:pPr>
          </w:p>
        </w:tc>
        <w:tc>
          <w:tcPr>
            <w:tcW w:w="980"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三等</w:t>
            </w: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外墙、内墙及天花一般抹灰；楼地面装饰；铝钢窗、镶板或其他木门；有防盗网；室内装有电气、供水、排水及排污设施。</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2550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6" w:type="dxa"/>
            <w:vMerge w:val="continue"/>
            <w:noWrap w:val="0"/>
            <w:vAlign w:val="center"/>
          </w:tcPr>
          <w:p>
            <w:pPr>
              <w:spacing w:line="320" w:lineRule="exact"/>
              <w:jc w:val="center"/>
              <w:rPr>
                <w:rFonts w:ascii="黑体" w:hAnsi="黑体" w:eastAsia="黑体" w:cs="黑体"/>
                <w:color w:val="auto"/>
                <w:sz w:val="24"/>
              </w:rPr>
            </w:pPr>
          </w:p>
        </w:tc>
        <w:tc>
          <w:tcPr>
            <w:tcW w:w="980"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四等</w:t>
            </w: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外墙、内墙未装饰（清水墙）；楼地面未抹水泥砂浆；未安装门窗；室内未安装电气、供水、排水及排污设施。</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6" w:type="dxa"/>
            <w:vMerge w:val="restart"/>
            <w:noWrap w:val="0"/>
            <w:vAlign w:val="center"/>
          </w:tcPr>
          <w:p>
            <w:pPr>
              <w:spacing w:line="320" w:lineRule="exact"/>
              <w:jc w:val="center"/>
              <w:rPr>
                <w:rFonts w:ascii="黑体" w:hAnsi="黑体" w:eastAsia="黑体" w:cs="黑体"/>
                <w:color w:val="auto"/>
                <w:sz w:val="24"/>
              </w:rPr>
            </w:pPr>
            <w:r>
              <w:rPr>
                <w:rFonts w:hint="eastAsia" w:ascii="黑体" w:hAnsi="黑体" w:eastAsia="黑体" w:cs="黑体"/>
                <w:color w:val="auto"/>
                <w:sz w:val="24"/>
              </w:rPr>
              <w:t>砖瓦房</w:t>
            </w:r>
          </w:p>
        </w:tc>
        <w:tc>
          <w:tcPr>
            <w:tcW w:w="980" w:type="dxa"/>
            <w:vMerge w:val="restart"/>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红砖墙、瓦顶房</w:t>
            </w: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内墙、天花及地面装饰；铝（钢）窗、镶板或夹板门；有防盗网；室内装有电气、供水、排水及排污设施。</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6" w:type="dxa"/>
            <w:vMerge w:val="continue"/>
            <w:noWrap w:val="0"/>
            <w:vAlign w:val="center"/>
          </w:tcPr>
          <w:p>
            <w:pPr>
              <w:spacing w:line="320" w:lineRule="exact"/>
              <w:jc w:val="center"/>
              <w:rPr>
                <w:rFonts w:ascii="黑体" w:hAnsi="黑体" w:eastAsia="黑体" w:cs="黑体"/>
                <w:color w:val="auto"/>
                <w:sz w:val="24"/>
              </w:rPr>
            </w:pPr>
          </w:p>
        </w:tc>
        <w:tc>
          <w:tcPr>
            <w:tcW w:w="980" w:type="dxa"/>
            <w:vMerge w:val="continue"/>
            <w:noWrap w:val="0"/>
            <w:vAlign w:val="center"/>
          </w:tcPr>
          <w:p>
            <w:pPr>
              <w:spacing w:line="320" w:lineRule="exact"/>
              <w:jc w:val="center"/>
              <w:rPr>
                <w:rFonts w:ascii="仿宋_GB2312" w:hAnsi="仿宋_GB2312" w:eastAsia="仿宋_GB2312" w:cs="仿宋_GB2312"/>
                <w:color w:val="auto"/>
                <w:sz w:val="24"/>
              </w:rPr>
            </w:pP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内外墙无装饰；楼地抹水泥砂浆；安装门窗；室内装有电气、供水、排水及排污设施。</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6" w:type="dxa"/>
            <w:vMerge w:val="continue"/>
            <w:noWrap w:val="0"/>
            <w:vAlign w:val="center"/>
          </w:tcPr>
          <w:p>
            <w:pPr>
              <w:spacing w:line="320" w:lineRule="exact"/>
              <w:jc w:val="center"/>
              <w:rPr>
                <w:rFonts w:ascii="黑体" w:hAnsi="黑体" w:eastAsia="黑体" w:cs="黑体"/>
                <w:color w:val="auto"/>
                <w:sz w:val="24"/>
              </w:rPr>
            </w:pPr>
          </w:p>
        </w:tc>
        <w:tc>
          <w:tcPr>
            <w:tcW w:w="980" w:type="dxa"/>
            <w:vMerge w:val="continue"/>
            <w:noWrap w:val="0"/>
            <w:vAlign w:val="center"/>
          </w:tcPr>
          <w:p>
            <w:pPr>
              <w:spacing w:line="320" w:lineRule="exact"/>
              <w:jc w:val="center"/>
              <w:rPr>
                <w:rFonts w:ascii="仿宋_GB2312" w:hAnsi="仿宋_GB2312" w:eastAsia="仿宋_GB2312" w:cs="仿宋_GB2312"/>
                <w:color w:val="auto"/>
                <w:sz w:val="24"/>
              </w:rPr>
            </w:pP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内外墙无装饰；楼地抹水泥砂浆；安装门窗；室内未安装有电气、供水、排水及排污设施。</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6" w:type="dxa"/>
            <w:vMerge w:val="continue"/>
            <w:noWrap w:val="0"/>
            <w:vAlign w:val="center"/>
          </w:tcPr>
          <w:p>
            <w:pPr>
              <w:spacing w:line="320" w:lineRule="exact"/>
              <w:jc w:val="center"/>
              <w:rPr>
                <w:rFonts w:ascii="黑体" w:hAnsi="黑体" w:eastAsia="黑体" w:cs="黑体"/>
                <w:color w:val="auto"/>
                <w:sz w:val="24"/>
              </w:rPr>
            </w:pPr>
          </w:p>
        </w:tc>
        <w:tc>
          <w:tcPr>
            <w:tcW w:w="980" w:type="dxa"/>
            <w:vMerge w:val="restart"/>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土墙、混合砖墙、瓦顶房</w:t>
            </w: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内墙、天花及地面装饰；铝（钢）窗、镶板或夹板门；有防盗网；室内装有电气、供水、排水及排污设施。</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6" w:type="dxa"/>
            <w:vMerge w:val="continue"/>
            <w:noWrap w:val="0"/>
            <w:vAlign w:val="center"/>
          </w:tcPr>
          <w:p>
            <w:pPr>
              <w:spacing w:line="320" w:lineRule="exact"/>
              <w:jc w:val="center"/>
              <w:rPr>
                <w:rFonts w:ascii="黑体" w:hAnsi="黑体" w:eastAsia="黑体" w:cs="黑体"/>
                <w:color w:val="auto"/>
                <w:sz w:val="24"/>
              </w:rPr>
            </w:pPr>
          </w:p>
        </w:tc>
        <w:tc>
          <w:tcPr>
            <w:tcW w:w="980" w:type="dxa"/>
            <w:vMerge w:val="continue"/>
            <w:noWrap w:val="0"/>
            <w:vAlign w:val="center"/>
          </w:tcPr>
          <w:p>
            <w:pPr>
              <w:spacing w:line="320" w:lineRule="exact"/>
              <w:jc w:val="center"/>
              <w:rPr>
                <w:rFonts w:ascii="仿宋_GB2312" w:hAnsi="仿宋_GB2312" w:eastAsia="仿宋_GB2312" w:cs="仿宋_GB2312"/>
                <w:color w:val="auto"/>
                <w:sz w:val="24"/>
              </w:rPr>
            </w:pP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内外墙无装饰；楼地抹水泥砂浆；安装门窗；室内装有电气、供水、排水及排污设施。</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6" w:type="dxa"/>
            <w:vMerge w:val="continue"/>
            <w:noWrap w:val="0"/>
            <w:vAlign w:val="center"/>
          </w:tcPr>
          <w:p>
            <w:pPr>
              <w:spacing w:line="320" w:lineRule="exact"/>
              <w:jc w:val="center"/>
              <w:rPr>
                <w:rFonts w:ascii="黑体" w:hAnsi="黑体" w:eastAsia="黑体" w:cs="黑体"/>
                <w:color w:val="auto"/>
                <w:sz w:val="24"/>
              </w:rPr>
            </w:pPr>
          </w:p>
        </w:tc>
        <w:tc>
          <w:tcPr>
            <w:tcW w:w="980" w:type="dxa"/>
            <w:vMerge w:val="continue"/>
            <w:noWrap w:val="0"/>
            <w:vAlign w:val="center"/>
          </w:tcPr>
          <w:p>
            <w:pPr>
              <w:spacing w:line="320" w:lineRule="exact"/>
              <w:jc w:val="center"/>
              <w:rPr>
                <w:rFonts w:ascii="仿宋_GB2312" w:hAnsi="仿宋_GB2312" w:eastAsia="仿宋_GB2312" w:cs="仿宋_GB2312"/>
                <w:color w:val="auto"/>
                <w:sz w:val="24"/>
              </w:rPr>
            </w:pP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内外墙无装饰；楼地抹水泥砂浆；安装门窗；室内未安装有电气、供水、排水及排污设施。</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26" w:type="dxa"/>
            <w:vMerge w:val="continue"/>
            <w:noWrap w:val="0"/>
            <w:vAlign w:val="center"/>
          </w:tcPr>
          <w:p>
            <w:pPr>
              <w:spacing w:line="320" w:lineRule="exact"/>
              <w:jc w:val="center"/>
              <w:rPr>
                <w:rFonts w:ascii="黑体" w:hAnsi="黑体" w:eastAsia="黑体" w:cs="黑体"/>
                <w:color w:val="auto"/>
                <w:sz w:val="24"/>
              </w:rPr>
            </w:pPr>
          </w:p>
        </w:tc>
        <w:tc>
          <w:tcPr>
            <w:tcW w:w="980"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阁楼</w:t>
            </w:r>
          </w:p>
        </w:tc>
        <w:tc>
          <w:tcPr>
            <w:tcW w:w="6820" w:type="dxa"/>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上高1.5米，下高2.0米以上</w:t>
            </w:r>
          </w:p>
        </w:tc>
        <w:tc>
          <w:tcPr>
            <w:tcW w:w="1192" w:type="dxa"/>
            <w:noWrap w:val="0"/>
            <w:vAlign w:val="center"/>
          </w:tcPr>
          <w:p>
            <w:pPr>
              <w:spacing w:line="32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026" w:type="dxa"/>
            <w:noWrap w:val="0"/>
            <w:vAlign w:val="center"/>
          </w:tcPr>
          <w:p>
            <w:pPr>
              <w:spacing w:line="320" w:lineRule="exact"/>
              <w:jc w:val="center"/>
              <w:rPr>
                <w:rFonts w:ascii="黑体" w:hAnsi="黑体" w:eastAsia="黑体" w:cs="黑体"/>
                <w:color w:val="auto"/>
                <w:sz w:val="24"/>
              </w:rPr>
            </w:pPr>
            <w:r>
              <w:rPr>
                <w:rFonts w:hint="eastAsia" w:ascii="黑体" w:hAnsi="黑体" w:eastAsia="黑体" w:cs="黑体"/>
                <w:color w:val="auto"/>
                <w:sz w:val="24"/>
              </w:rPr>
              <w:t>备注</w:t>
            </w:r>
          </w:p>
        </w:tc>
        <w:tc>
          <w:tcPr>
            <w:tcW w:w="8992" w:type="dxa"/>
            <w:gridSpan w:val="3"/>
            <w:noWrap w:val="0"/>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上述各类房屋的基础、屋内建筑和装修部分，如浴室、卫生间、化粪池、楼梯扶手、石膏天花、宝丽板墙裙、水电设施等，均已计入各种房屋的补偿内，不另作补偿。</w:t>
            </w:r>
          </w:p>
        </w:tc>
      </w:tr>
    </w:tbl>
    <w:p>
      <w:pPr>
        <w:spacing w:line="520" w:lineRule="exact"/>
        <w:rPr>
          <w:rFonts w:ascii="仿宋_GB2312"/>
          <w:color w:val="auto"/>
          <w:sz w:val="28"/>
          <w:szCs w:val="28"/>
        </w:rPr>
      </w:pPr>
    </w:p>
    <w:sectPr>
      <w:pgSz w:w="11906" w:h="16838"/>
      <w:pgMar w:top="907" w:right="907" w:bottom="794" w:left="1020" w:header="680" w:footer="680" w:gutter="0"/>
      <w:cols w:space="720" w:num="1"/>
      <w:docGrid w:type="linesAndChars" w:linePitch="57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ind w:right="360"/>
      <w:jc w:val="right"/>
      <w:rPr>
        <w:rFonts w:ascii="仿宋_GB2312" w:eastAsia="仿宋_GB2312"/>
        <w:sz w:val="28"/>
        <w:szCs w:val="28"/>
      </w:rPr>
    </w:pPr>
    <w:r>
      <w:rPr>
        <w:rFonts w:hint="eastAsia" w:ascii="仿宋_GB2312" w:eastAsia="仿宋_GB2312"/>
        <w:kern w:val="0"/>
        <w:sz w:val="28"/>
        <w:szCs w:val="28"/>
      </w:rPr>
      <w:t xml:space="preserve">- </w:t>
    </w:r>
    <w:r>
      <w:rPr>
        <w:rFonts w:hint="eastAsia" w:ascii="仿宋_GB2312" w:eastAsia="仿宋_GB2312"/>
        <w:kern w:val="0"/>
        <w:sz w:val="28"/>
        <w:szCs w:val="28"/>
      </w:rPr>
      <w:fldChar w:fldCharType="begin"/>
    </w:r>
    <w:r>
      <w:rPr>
        <w:rFonts w:hint="eastAsia" w:ascii="仿宋_GB2312" w:eastAsia="仿宋_GB2312"/>
        <w:kern w:val="0"/>
        <w:sz w:val="28"/>
        <w:szCs w:val="28"/>
      </w:rPr>
      <w:instrText xml:space="preserve"> PAGE </w:instrText>
    </w:r>
    <w:r>
      <w:rPr>
        <w:rFonts w:hint="eastAsia" w:ascii="仿宋_GB2312" w:eastAsia="仿宋_GB2312"/>
        <w:kern w:val="0"/>
        <w:sz w:val="28"/>
        <w:szCs w:val="28"/>
      </w:rPr>
      <w:fldChar w:fldCharType="separate"/>
    </w:r>
    <w:r>
      <w:rPr>
        <w:rFonts w:ascii="仿宋_GB2312" w:eastAsia="仿宋_GB2312"/>
        <w:kern w:val="0"/>
        <w:sz w:val="28"/>
        <w:szCs w:val="28"/>
      </w:rPr>
      <w:t>29</w:t>
    </w:r>
    <w:r>
      <w:rPr>
        <w:rFonts w:hint="eastAsia" w:ascii="仿宋_GB2312" w:eastAsia="仿宋_GB2312"/>
        <w:kern w:val="0"/>
        <w:sz w:val="28"/>
        <w:szCs w:val="28"/>
      </w:rPr>
      <w:fldChar w:fldCharType="end"/>
    </w:r>
    <w:r>
      <w:rPr>
        <w:rFonts w:hint="eastAsia" w:ascii="仿宋_GB2312" w:eastAsia="仿宋_GB2312"/>
        <w:kern w:val="0"/>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560" w:firstLineChars="200"/>
      <w:rPr>
        <w:rStyle w:val="10"/>
        <w:rFonts w:ascii="仿宋_GB2312" w:hAnsi="宋体" w:eastAsia="仿宋_GB2312"/>
        <w:sz w:val="28"/>
        <w:szCs w:val="28"/>
      </w:rPr>
    </w:pPr>
    <w:r>
      <w:rPr>
        <w:rFonts w:hint="eastAsia" w:ascii="仿宋_GB2312" w:hAnsi="宋体" w:eastAsia="仿宋_GB2312"/>
        <w:sz w:val="28"/>
        <w:szCs w:val="28"/>
      </w:rPr>
      <w:t xml:space="preserve">- </w:t>
    </w:r>
    <w:r>
      <w:rPr>
        <w:rFonts w:hint="eastAsia" w:ascii="仿宋_GB2312" w:hAnsi="宋体" w:eastAsia="仿宋_GB2312"/>
        <w:sz w:val="28"/>
        <w:szCs w:val="28"/>
      </w:rPr>
      <w:fldChar w:fldCharType="begin"/>
    </w:r>
    <w:r>
      <w:rPr>
        <w:rStyle w:val="10"/>
        <w:rFonts w:hint="eastAsia" w:ascii="仿宋_GB2312" w:hAnsi="宋体" w:eastAsia="仿宋_GB2312"/>
        <w:sz w:val="28"/>
        <w:szCs w:val="28"/>
      </w:rPr>
      <w:instrText xml:space="preserve">PAGE  </w:instrText>
    </w:r>
    <w:r>
      <w:rPr>
        <w:rFonts w:hint="eastAsia" w:ascii="仿宋_GB2312" w:hAnsi="宋体" w:eastAsia="仿宋_GB2312"/>
        <w:sz w:val="28"/>
        <w:szCs w:val="28"/>
      </w:rPr>
      <w:fldChar w:fldCharType="separate"/>
    </w:r>
    <w:r>
      <w:rPr>
        <w:rStyle w:val="10"/>
        <w:rFonts w:ascii="仿宋_GB2312" w:hAnsi="宋体" w:eastAsia="仿宋_GB2312"/>
        <w:sz w:val="28"/>
        <w:szCs w:val="28"/>
      </w:rPr>
      <w:t>28</w:t>
    </w:r>
    <w:r>
      <w:rPr>
        <w:rFonts w:hint="eastAsia" w:ascii="仿宋_GB2312" w:hAnsi="宋体" w:eastAsia="仿宋_GB2312"/>
        <w:sz w:val="28"/>
        <w:szCs w:val="28"/>
      </w:rPr>
      <w:fldChar w:fldCharType="end"/>
    </w:r>
    <w:r>
      <w:rPr>
        <w:rFonts w:hint="eastAsia" w:ascii="仿宋_GB2312" w:hAnsi="宋体" w:eastAsia="仿宋_GB2312"/>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51F723"/>
    <w:multiLevelType w:val="singleLevel"/>
    <w:tmpl w:val="E551F723"/>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1A09"/>
    <w:rsid w:val="0003038D"/>
    <w:rsid w:val="00041A13"/>
    <w:rsid w:val="0004350E"/>
    <w:rsid w:val="00075D8D"/>
    <w:rsid w:val="0007605F"/>
    <w:rsid w:val="00085605"/>
    <w:rsid w:val="00091CDC"/>
    <w:rsid w:val="000A1E0D"/>
    <w:rsid w:val="000A4B9F"/>
    <w:rsid w:val="000B35EE"/>
    <w:rsid w:val="000C4AB1"/>
    <w:rsid w:val="000D117F"/>
    <w:rsid w:val="000D2D57"/>
    <w:rsid w:val="000E1038"/>
    <w:rsid w:val="001320D8"/>
    <w:rsid w:val="001463BC"/>
    <w:rsid w:val="001466EB"/>
    <w:rsid w:val="001651DE"/>
    <w:rsid w:val="00172A27"/>
    <w:rsid w:val="001810D4"/>
    <w:rsid w:val="00192026"/>
    <w:rsid w:val="001941D9"/>
    <w:rsid w:val="00195DF7"/>
    <w:rsid w:val="001978E9"/>
    <w:rsid w:val="001E05B0"/>
    <w:rsid w:val="001E7A4D"/>
    <w:rsid w:val="00222D13"/>
    <w:rsid w:val="00231A9E"/>
    <w:rsid w:val="0024238B"/>
    <w:rsid w:val="002501D0"/>
    <w:rsid w:val="0027155F"/>
    <w:rsid w:val="002801E2"/>
    <w:rsid w:val="002B0CFA"/>
    <w:rsid w:val="002C2D36"/>
    <w:rsid w:val="002D334E"/>
    <w:rsid w:val="002F2BC8"/>
    <w:rsid w:val="002F3BE1"/>
    <w:rsid w:val="0030425C"/>
    <w:rsid w:val="00306ABB"/>
    <w:rsid w:val="003220DD"/>
    <w:rsid w:val="003366AD"/>
    <w:rsid w:val="00352C03"/>
    <w:rsid w:val="00362194"/>
    <w:rsid w:val="00363639"/>
    <w:rsid w:val="00376E2E"/>
    <w:rsid w:val="003907D0"/>
    <w:rsid w:val="003A54D3"/>
    <w:rsid w:val="003C1F9E"/>
    <w:rsid w:val="003D5F8A"/>
    <w:rsid w:val="003E39F9"/>
    <w:rsid w:val="00406B10"/>
    <w:rsid w:val="00410891"/>
    <w:rsid w:val="00416EDE"/>
    <w:rsid w:val="00421771"/>
    <w:rsid w:val="00477324"/>
    <w:rsid w:val="00484EAD"/>
    <w:rsid w:val="004853BE"/>
    <w:rsid w:val="004A27EF"/>
    <w:rsid w:val="004B2467"/>
    <w:rsid w:val="004C6715"/>
    <w:rsid w:val="004E0BBB"/>
    <w:rsid w:val="004F2144"/>
    <w:rsid w:val="005130EC"/>
    <w:rsid w:val="00580B72"/>
    <w:rsid w:val="005923D2"/>
    <w:rsid w:val="005B07E7"/>
    <w:rsid w:val="005B0E80"/>
    <w:rsid w:val="005B412C"/>
    <w:rsid w:val="005D7AF6"/>
    <w:rsid w:val="005E0A44"/>
    <w:rsid w:val="005E32A7"/>
    <w:rsid w:val="005F134E"/>
    <w:rsid w:val="005F66AE"/>
    <w:rsid w:val="006115DB"/>
    <w:rsid w:val="006143B9"/>
    <w:rsid w:val="00657BE8"/>
    <w:rsid w:val="00667758"/>
    <w:rsid w:val="006966EF"/>
    <w:rsid w:val="006E39D6"/>
    <w:rsid w:val="00704577"/>
    <w:rsid w:val="0070567F"/>
    <w:rsid w:val="007161C7"/>
    <w:rsid w:val="0072076E"/>
    <w:rsid w:val="007337D4"/>
    <w:rsid w:val="007461D4"/>
    <w:rsid w:val="00746E7F"/>
    <w:rsid w:val="007529DE"/>
    <w:rsid w:val="0077615B"/>
    <w:rsid w:val="0077635E"/>
    <w:rsid w:val="0078295E"/>
    <w:rsid w:val="00795BAA"/>
    <w:rsid w:val="007A6D31"/>
    <w:rsid w:val="007E346C"/>
    <w:rsid w:val="007F351F"/>
    <w:rsid w:val="008076EC"/>
    <w:rsid w:val="008254BF"/>
    <w:rsid w:val="00835BB0"/>
    <w:rsid w:val="0084593C"/>
    <w:rsid w:val="00851C08"/>
    <w:rsid w:val="00853008"/>
    <w:rsid w:val="00856AB0"/>
    <w:rsid w:val="00890BAC"/>
    <w:rsid w:val="008C5843"/>
    <w:rsid w:val="008E71B7"/>
    <w:rsid w:val="00911791"/>
    <w:rsid w:val="00913EB4"/>
    <w:rsid w:val="00920EF2"/>
    <w:rsid w:val="00944FB8"/>
    <w:rsid w:val="009768B0"/>
    <w:rsid w:val="00985B93"/>
    <w:rsid w:val="009B214E"/>
    <w:rsid w:val="009B7CD4"/>
    <w:rsid w:val="009D43EE"/>
    <w:rsid w:val="009E5487"/>
    <w:rsid w:val="00A06526"/>
    <w:rsid w:val="00A06C96"/>
    <w:rsid w:val="00A248F3"/>
    <w:rsid w:val="00A26303"/>
    <w:rsid w:val="00A708AD"/>
    <w:rsid w:val="00A7636C"/>
    <w:rsid w:val="00A77843"/>
    <w:rsid w:val="00A81354"/>
    <w:rsid w:val="00A9220E"/>
    <w:rsid w:val="00AA1708"/>
    <w:rsid w:val="00AA3CF9"/>
    <w:rsid w:val="00AB0AA9"/>
    <w:rsid w:val="00AD091E"/>
    <w:rsid w:val="00AD6F4B"/>
    <w:rsid w:val="00AE18E4"/>
    <w:rsid w:val="00AE7AFD"/>
    <w:rsid w:val="00AF4F8F"/>
    <w:rsid w:val="00B014C3"/>
    <w:rsid w:val="00B031FC"/>
    <w:rsid w:val="00B1371D"/>
    <w:rsid w:val="00B50786"/>
    <w:rsid w:val="00B524FA"/>
    <w:rsid w:val="00B539B1"/>
    <w:rsid w:val="00B8363F"/>
    <w:rsid w:val="00B8560A"/>
    <w:rsid w:val="00BA0999"/>
    <w:rsid w:val="00BA2F89"/>
    <w:rsid w:val="00BB237C"/>
    <w:rsid w:val="00BD2540"/>
    <w:rsid w:val="00BE1D91"/>
    <w:rsid w:val="00BE251B"/>
    <w:rsid w:val="00BF0974"/>
    <w:rsid w:val="00C04BD8"/>
    <w:rsid w:val="00C16A4C"/>
    <w:rsid w:val="00C23B32"/>
    <w:rsid w:val="00C4306A"/>
    <w:rsid w:val="00C70240"/>
    <w:rsid w:val="00C96EA1"/>
    <w:rsid w:val="00CA7A97"/>
    <w:rsid w:val="00D077C7"/>
    <w:rsid w:val="00D20AB2"/>
    <w:rsid w:val="00D600F7"/>
    <w:rsid w:val="00D72CEF"/>
    <w:rsid w:val="00DB2531"/>
    <w:rsid w:val="00DD4CA0"/>
    <w:rsid w:val="00DD60C8"/>
    <w:rsid w:val="00E036FE"/>
    <w:rsid w:val="00E24F5E"/>
    <w:rsid w:val="00E276EE"/>
    <w:rsid w:val="00E5642B"/>
    <w:rsid w:val="00E811AA"/>
    <w:rsid w:val="00E923BD"/>
    <w:rsid w:val="00EC2477"/>
    <w:rsid w:val="00EC382E"/>
    <w:rsid w:val="00ED3F66"/>
    <w:rsid w:val="00ED49A2"/>
    <w:rsid w:val="00EE432B"/>
    <w:rsid w:val="00F03216"/>
    <w:rsid w:val="00F331F9"/>
    <w:rsid w:val="00F41570"/>
    <w:rsid w:val="00F66928"/>
    <w:rsid w:val="00F8045E"/>
    <w:rsid w:val="00FA4924"/>
    <w:rsid w:val="0107633A"/>
    <w:rsid w:val="012B28BF"/>
    <w:rsid w:val="01934372"/>
    <w:rsid w:val="01BE0033"/>
    <w:rsid w:val="01CC6950"/>
    <w:rsid w:val="01F2432F"/>
    <w:rsid w:val="021E3DD4"/>
    <w:rsid w:val="026D3BCF"/>
    <w:rsid w:val="02EE199D"/>
    <w:rsid w:val="03030E3A"/>
    <w:rsid w:val="035E061D"/>
    <w:rsid w:val="038A4695"/>
    <w:rsid w:val="03B64FE7"/>
    <w:rsid w:val="03E92F22"/>
    <w:rsid w:val="0437586D"/>
    <w:rsid w:val="044804D1"/>
    <w:rsid w:val="046258E0"/>
    <w:rsid w:val="047232A7"/>
    <w:rsid w:val="04760393"/>
    <w:rsid w:val="04EA43BE"/>
    <w:rsid w:val="050111B8"/>
    <w:rsid w:val="05214106"/>
    <w:rsid w:val="05235E3A"/>
    <w:rsid w:val="05236117"/>
    <w:rsid w:val="053D35C3"/>
    <w:rsid w:val="054C5DE7"/>
    <w:rsid w:val="05707C60"/>
    <w:rsid w:val="059023AC"/>
    <w:rsid w:val="05A77486"/>
    <w:rsid w:val="066B0EB6"/>
    <w:rsid w:val="076B08E2"/>
    <w:rsid w:val="07B50F6A"/>
    <w:rsid w:val="07BB489A"/>
    <w:rsid w:val="07C03566"/>
    <w:rsid w:val="0816384F"/>
    <w:rsid w:val="08480B04"/>
    <w:rsid w:val="089F69C1"/>
    <w:rsid w:val="08AC0B4E"/>
    <w:rsid w:val="08C70D64"/>
    <w:rsid w:val="09821D27"/>
    <w:rsid w:val="09D67EFE"/>
    <w:rsid w:val="0A155927"/>
    <w:rsid w:val="0A2D2F9A"/>
    <w:rsid w:val="0A370428"/>
    <w:rsid w:val="0A3A6068"/>
    <w:rsid w:val="0A7A33C6"/>
    <w:rsid w:val="0A884627"/>
    <w:rsid w:val="0B005BB3"/>
    <w:rsid w:val="0B1A4880"/>
    <w:rsid w:val="0B211BB0"/>
    <w:rsid w:val="0B4A6207"/>
    <w:rsid w:val="0B4B6DA0"/>
    <w:rsid w:val="0B6271CA"/>
    <w:rsid w:val="0C29456B"/>
    <w:rsid w:val="0C340F40"/>
    <w:rsid w:val="0CBE4685"/>
    <w:rsid w:val="0CC263C5"/>
    <w:rsid w:val="0CCE12B5"/>
    <w:rsid w:val="0CF222E0"/>
    <w:rsid w:val="0CFA4D7C"/>
    <w:rsid w:val="0D0B159F"/>
    <w:rsid w:val="0D3E0C1B"/>
    <w:rsid w:val="0DCD3DE5"/>
    <w:rsid w:val="0E311706"/>
    <w:rsid w:val="0E660D5E"/>
    <w:rsid w:val="0EBE33A3"/>
    <w:rsid w:val="0F5C71AE"/>
    <w:rsid w:val="0F5F04F7"/>
    <w:rsid w:val="0F7230D8"/>
    <w:rsid w:val="0F7A1933"/>
    <w:rsid w:val="0F9101AA"/>
    <w:rsid w:val="0F9F31AF"/>
    <w:rsid w:val="0FA2313A"/>
    <w:rsid w:val="0FAD4A20"/>
    <w:rsid w:val="0FBE5597"/>
    <w:rsid w:val="0FBE7AEB"/>
    <w:rsid w:val="0FC249C7"/>
    <w:rsid w:val="10167821"/>
    <w:rsid w:val="101D09D7"/>
    <w:rsid w:val="103E788B"/>
    <w:rsid w:val="105F305A"/>
    <w:rsid w:val="10670A4A"/>
    <w:rsid w:val="106C5510"/>
    <w:rsid w:val="107A6A99"/>
    <w:rsid w:val="1096683D"/>
    <w:rsid w:val="10B951AD"/>
    <w:rsid w:val="10BA4163"/>
    <w:rsid w:val="10FE323F"/>
    <w:rsid w:val="113873AC"/>
    <w:rsid w:val="114105E8"/>
    <w:rsid w:val="11A37772"/>
    <w:rsid w:val="11AD6BC1"/>
    <w:rsid w:val="11B66A4D"/>
    <w:rsid w:val="12032DE8"/>
    <w:rsid w:val="12463B09"/>
    <w:rsid w:val="12566D7D"/>
    <w:rsid w:val="12583A4B"/>
    <w:rsid w:val="126D35CC"/>
    <w:rsid w:val="127A65E0"/>
    <w:rsid w:val="12B67B3D"/>
    <w:rsid w:val="12CD6599"/>
    <w:rsid w:val="12F97D8F"/>
    <w:rsid w:val="1311237C"/>
    <w:rsid w:val="13174CDB"/>
    <w:rsid w:val="131C06A4"/>
    <w:rsid w:val="132857D4"/>
    <w:rsid w:val="13411CDC"/>
    <w:rsid w:val="1349341E"/>
    <w:rsid w:val="138456EC"/>
    <w:rsid w:val="13D047F3"/>
    <w:rsid w:val="13D44B45"/>
    <w:rsid w:val="13F004CC"/>
    <w:rsid w:val="1484310B"/>
    <w:rsid w:val="14CC0E41"/>
    <w:rsid w:val="14D650EE"/>
    <w:rsid w:val="14FF6E0A"/>
    <w:rsid w:val="153320A1"/>
    <w:rsid w:val="15500363"/>
    <w:rsid w:val="155D40DC"/>
    <w:rsid w:val="1588505A"/>
    <w:rsid w:val="1595428A"/>
    <w:rsid w:val="15F61101"/>
    <w:rsid w:val="15FE65A1"/>
    <w:rsid w:val="16162183"/>
    <w:rsid w:val="161B4092"/>
    <w:rsid w:val="16330B33"/>
    <w:rsid w:val="165148AB"/>
    <w:rsid w:val="166927FC"/>
    <w:rsid w:val="166D4208"/>
    <w:rsid w:val="1698379C"/>
    <w:rsid w:val="16A95EBA"/>
    <w:rsid w:val="16D7330C"/>
    <w:rsid w:val="16E05AFE"/>
    <w:rsid w:val="16F83686"/>
    <w:rsid w:val="178376E3"/>
    <w:rsid w:val="17DA3EA2"/>
    <w:rsid w:val="18111126"/>
    <w:rsid w:val="186B582B"/>
    <w:rsid w:val="187D53DE"/>
    <w:rsid w:val="18877F95"/>
    <w:rsid w:val="18CB7536"/>
    <w:rsid w:val="190C22A0"/>
    <w:rsid w:val="19473B20"/>
    <w:rsid w:val="194A09E8"/>
    <w:rsid w:val="195408D1"/>
    <w:rsid w:val="19547E9C"/>
    <w:rsid w:val="19613AB2"/>
    <w:rsid w:val="19857A19"/>
    <w:rsid w:val="19BE0779"/>
    <w:rsid w:val="1A4C61B2"/>
    <w:rsid w:val="1AAB6F56"/>
    <w:rsid w:val="1AC71239"/>
    <w:rsid w:val="1ACD6F3F"/>
    <w:rsid w:val="1AF747A1"/>
    <w:rsid w:val="1B0B1613"/>
    <w:rsid w:val="1B627A54"/>
    <w:rsid w:val="1B6A2E59"/>
    <w:rsid w:val="1B824E36"/>
    <w:rsid w:val="1BA33BBD"/>
    <w:rsid w:val="1BF17E8D"/>
    <w:rsid w:val="1C6A39E6"/>
    <w:rsid w:val="1C7347AD"/>
    <w:rsid w:val="1C786D6E"/>
    <w:rsid w:val="1D1F0ABB"/>
    <w:rsid w:val="1D205BBB"/>
    <w:rsid w:val="1D455CD8"/>
    <w:rsid w:val="1D4C2044"/>
    <w:rsid w:val="1D8378E5"/>
    <w:rsid w:val="1DA61719"/>
    <w:rsid w:val="1E091676"/>
    <w:rsid w:val="1E4E2D82"/>
    <w:rsid w:val="1E76465C"/>
    <w:rsid w:val="1EDC567E"/>
    <w:rsid w:val="1F43209E"/>
    <w:rsid w:val="200353E8"/>
    <w:rsid w:val="20097423"/>
    <w:rsid w:val="205173E5"/>
    <w:rsid w:val="209361A4"/>
    <w:rsid w:val="209E66B2"/>
    <w:rsid w:val="20CA6CB8"/>
    <w:rsid w:val="20EA7232"/>
    <w:rsid w:val="216018A7"/>
    <w:rsid w:val="217D6C6B"/>
    <w:rsid w:val="21801A74"/>
    <w:rsid w:val="21B94451"/>
    <w:rsid w:val="226E774D"/>
    <w:rsid w:val="22902338"/>
    <w:rsid w:val="22C523A9"/>
    <w:rsid w:val="22D348D3"/>
    <w:rsid w:val="232A4641"/>
    <w:rsid w:val="233E1332"/>
    <w:rsid w:val="234124A8"/>
    <w:rsid w:val="23C32777"/>
    <w:rsid w:val="24517A72"/>
    <w:rsid w:val="249B554A"/>
    <w:rsid w:val="24A67681"/>
    <w:rsid w:val="24A850B9"/>
    <w:rsid w:val="24C34CBC"/>
    <w:rsid w:val="24DF4A18"/>
    <w:rsid w:val="250F2103"/>
    <w:rsid w:val="25125F87"/>
    <w:rsid w:val="253A1760"/>
    <w:rsid w:val="25B66913"/>
    <w:rsid w:val="25C87866"/>
    <w:rsid w:val="25DE7EF5"/>
    <w:rsid w:val="25F6012F"/>
    <w:rsid w:val="25FE265D"/>
    <w:rsid w:val="26191483"/>
    <w:rsid w:val="261A18E2"/>
    <w:rsid w:val="2625434D"/>
    <w:rsid w:val="26900804"/>
    <w:rsid w:val="26D20396"/>
    <w:rsid w:val="26EE7834"/>
    <w:rsid w:val="27007F48"/>
    <w:rsid w:val="276F04CC"/>
    <w:rsid w:val="27785B5C"/>
    <w:rsid w:val="277A6556"/>
    <w:rsid w:val="2789089B"/>
    <w:rsid w:val="27C419CD"/>
    <w:rsid w:val="27D27914"/>
    <w:rsid w:val="280B0766"/>
    <w:rsid w:val="283E246E"/>
    <w:rsid w:val="284420F1"/>
    <w:rsid w:val="28603D79"/>
    <w:rsid w:val="291C387D"/>
    <w:rsid w:val="29292811"/>
    <w:rsid w:val="29343FC4"/>
    <w:rsid w:val="29426583"/>
    <w:rsid w:val="2966407C"/>
    <w:rsid w:val="297519E7"/>
    <w:rsid w:val="2A212A99"/>
    <w:rsid w:val="2A376A3F"/>
    <w:rsid w:val="2A381BC5"/>
    <w:rsid w:val="2A7C3BF2"/>
    <w:rsid w:val="2ABC7D33"/>
    <w:rsid w:val="2B0A0800"/>
    <w:rsid w:val="2B2401EB"/>
    <w:rsid w:val="2B7061FA"/>
    <w:rsid w:val="2BE67976"/>
    <w:rsid w:val="2C113048"/>
    <w:rsid w:val="2C593056"/>
    <w:rsid w:val="2CA771EE"/>
    <w:rsid w:val="2CBA7B52"/>
    <w:rsid w:val="2CC13A60"/>
    <w:rsid w:val="2CEB311B"/>
    <w:rsid w:val="2D3F0BBD"/>
    <w:rsid w:val="2D4E5B1A"/>
    <w:rsid w:val="2D56730C"/>
    <w:rsid w:val="2D5935E2"/>
    <w:rsid w:val="2D757307"/>
    <w:rsid w:val="2DC84C6E"/>
    <w:rsid w:val="2DEC3244"/>
    <w:rsid w:val="2E2415EE"/>
    <w:rsid w:val="2E4250C4"/>
    <w:rsid w:val="2EC56B6D"/>
    <w:rsid w:val="2EDF598D"/>
    <w:rsid w:val="2EE34255"/>
    <w:rsid w:val="2F042B67"/>
    <w:rsid w:val="2F71792B"/>
    <w:rsid w:val="2F815ACF"/>
    <w:rsid w:val="2FA457E5"/>
    <w:rsid w:val="2FDB237D"/>
    <w:rsid w:val="2FE83757"/>
    <w:rsid w:val="30497509"/>
    <w:rsid w:val="30616034"/>
    <w:rsid w:val="313C5B57"/>
    <w:rsid w:val="314B0DDA"/>
    <w:rsid w:val="31D52935"/>
    <w:rsid w:val="32183EA8"/>
    <w:rsid w:val="329D3E96"/>
    <w:rsid w:val="32CD38E7"/>
    <w:rsid w:val="32ED2089"/>
    <w:rsid w:val="32F4331B"/>
    <w:rsid w:val="330B4DA3"/>
    <w:rsid w:val="332321DB"/>
    <w:rsid w:val="334B13D1"/>
    <w:rsid w:val="33561B8C"/>
    <w:rsid w:val="33614305"/>
    <w:rsid w:val="336926B1"/>
    <w:rsid w:val="339363CD"/>
    <w:rsid w:val="33C03618"/>
    <w:rsid w:val="347D1F84"/>
    <w:rsid w:val="34990D6A"/>
    <w:rsid w:val="34AB4A7F"/>
    <w:rsid w:val="34B205F1"/>
    <w:rsid w:val="34BD0662"/>
    <w:rsid w:val="34C31AB1"/>
    <w:rsid w:val="34F43122"/>
    <w:rsid w:val="35584C76"/>
    <w:rsid w:val="35971818"/>
    <w:rsid w:val="35C60D2A"/>
    <w:rsid w:val="3663506F"/>
    <w:rsid w:val="36795F2E"/>
    <w:rsid w:val="36B83197"/>
    <w:rsid w:val="36D95F87"/>
    <w:rsid w:val="36EA7FF4"/>
    <w:rsid w:val="36ED0655"/>
    <w:rsid w:val="37730A19"/>
    <w:rsid w:val="377E01AC"/>
    <w:rsid w:val="37A96006"/>
    <w:rsid w:val="38271AC2"/>
    <w:rsid w:val="38293B17"/>
    <w:rsid w:val="385A3DA0"/>
    <w:rsid w:val="385B3CA3"/>
    <w:rsid w:val="386355CF"/>
    <w:rsid w:val="38B34F9B"/>
    <w:rsid w:val="38D24F1C"/>
    <w:rsid w:val="39445F70"/>
    <w:rsid w:val="39693C7D"/>
    <w:rsid w:val="39746C91"/>
    <w:rsid w:val="397674D5"/>
    <w:rsid w:val="39886E5E"/>
    <w:rsid w:val="39956FB2"/>
    <w:rsid w:val="3A1E4526"/>
    <w:rsid w:val="3A3807F2"/>
    <w:rsid w:val="3A3A118F"/>
    <w:rsid w:val="3A7A6BAF"/>
    <w:rsid w:val="3A9A0B90"/>
    <w:rsid w:val="3AAD7ACD"/>
    <w:rsid w:val="3AD73A9E"/>
    <w:rsid w:val="3AF7408D"/>
    <w:rsid w:val="3B2420CA"/>
    <w:rsid w:val="3B276E89"/>
    <w:rsid w:val="3B4119CD"/>
    <w:rsid w:val="3B6B5EF1"/>
    <w:rsid w:val="3C0374E9"/>
    <w:rsid w:val="3C604C5F"/>
    <w:rsid w:val="3CBE3C05"/>
    <w:rsid w:val="3D277165"/>
    <w:rsid w:val="3D2E4D29"/>
    <w:rsid w:val="3D531041"/>
    <w:rsid w:val="3DC412D4"/>
    <w:rsid w:val="3E1B5412"/>
    <w:rsid w:val="3E1F4434"/>
    <w:rsid w:val="3E2E44D4"/>
    <w:rsid w:val="3E36594A"/>
    <w:rsid w:val="3E5321E6"/>
    <w:rsid w:val="3E6C7082"/>
    <w:rsid w:val="3E864503"/>
    <w:rsid w:val="3EFB754D"/>
    <w:rsid w:val="3F7C782A"/>
    <w:rsid w:val="3FCB67D3"/>
    <w:rsid w:val="4021169D"/>
    <w:rsid w:val="4037127B"/>
    <w:rsid w:val="403D52FF"/>
    <w:rsid w:val="41364FCE"/>
    <w:rsid w:val="41697B3A"/>
    <w:rsid w:val="4187796D"/>
    <w:rsid w:val="41D24D5B"/>
    <w:rsid w:val="41E75945"/>
    <w:rsid w:val="421F53BF"/>
    <w:rsid w:val="423A202D"/>
    <w:rsid w:val="424E3083"/>
    <w:rsid w:val="42D02263"/>
    <w:rsid w:val="42D172B4"/>
    <w:rsid w:val="432D4096"/>
    <w:rsid w:val="43493A53"/>
    <w:rsid w:val="437D5090"/>
    <w:rsid w:val="43883F4B"/>
    <w:rsid w:val="43967D62"/>
    <w:rsid w:val="43CC6047"/>
    <w:rsid w:val="43F44715"/>
    <w:rsid w:val="449B204E"/>
    <w:rsid w:val="452650F4"/>
    <w:rsid w:val="453D3EA0"/>
    <w:rsid w:val="453F4C1C"/>
    <w:rsid w:val="455E5EFF"/>
    <w:rsid w:val="45B4648F"/>
    <w:rsid w:val="45D33D95"/>
    <w:rsid w:val="45FB15B7"/>
    <w:rsid w:val="461D2014"/>
    <w:rsid w:val="465E0C51"/>
    <w:rsid w:val="46903966"/>
    <w:rsid w:val="46B43975"/>
    <w:rsid w:val="46F00831"/>
    <w:rsid w:val="46FD043B"/>
    <w:rsid w:val="4732574F"/>
    <w:rsid w:val="479B0D3D"/>
    <w:rsid w:val="47AD4D17"/>
    <w:rsid w:val="47B81140"/>
    <w:rsid w:val="482A1917"/>
    <w:rsid w:val="48815E8D"/>
    <w:rsid w:val="489563E6"/>
    <w:rsid w:val="4968761C"/>
    <w:rsid w:val="496D318A"/>
    <w:rsid w:val="49845F2F"/>
    <w:rsid w:val="49C46959"/>
    <w:rsid w:val="4A0F1C6C"/>
    <w:rsid w:val="4A85631C"/>
    <w:rsid w:val="4AC04720"/>
    <w:rsid w:val="4AC93D3E"/>
    <w:rsid w:val="4B2F713C"/>
    <w:rsid w:val="4B681D86"/>
    <w:rsid w:val="4BA74C2D"/>
    <w:rsid w:val="4BAD631F"/>
    <w:rsid w:val="4BFA7DCF"/>
    <w:rsid w:val="4C571AD1"/>
    <w:rsid w:val="4C860909"/>
    <w:rsid w:val="4CBE4268"/>
    <w:rsid w:val="4CF93431"/>
    <w:rsid w:val="4D3A1A87"/>
    <w:rsid w:val="4D764E12"/>
    <w:rsid w:val="4DEE246C"/>
    <w:rsid w:val="4E3A5D13"/>
    <w:rsid w:val="4E6F0414"/>
    <w:rsid w:val="4EC71953"/>
    <w:rsid w:val="4ECB7201"/>
    <w:rsid w:val="4EF039F2"/>
    <w:rsid w:val="4F166D3B"/>
    <w:rsid w:val="4F3579A3"/>
    <w:rsid w:val="4F810165"/>
    <w:rsid w:val="4FA95ABA"/>
    <w:rsid w:val="4FB01CF9"/>
    <w:rsid w:val="4FC55308"/>
    <w:rsid w:val="50374E93"/>
    <w:rsid w:val="503D208A"/>
    <w:rsid w:val="5083077E"/>
    <w:rsid w:val="50D73E07"/>
    <w:rsid w:val="50DC03FA"/>
    <w:rsid w:val="50F6494B"/>
    <w:rsid w:val="52420E38"/>
    <w:rsid w:val="528A1B06"/>
    <w:rsid w:val="52AF47B0"/>
    <w:rsid w:val="52D30A59"/>
    <w:rsid w:val="531D7A77"/>
    <w:rsid w:val="535967DC"/>
    <w:rsid w:val="535B7005"/>
    <w:rsid w:val="53A33587"/>
    <w:rsid w:val="53E10D69"/>
    <w:rsid w:val="53FD6CD7"/>
    <w:rsid w:val="540C3AD8"/>
    <w:rsid w:val="541C2968"/>
    <w:rsid w:val="54473EC7"/>
    <w:rsid w:val="546005DC"/>
    <w:rsid w:val="54C233B0"/>
    <w:rsid w:val="54C948D2"/>
    <w:rsid w:val="55526425"/>
    <w:rsid w:val="55654254"/>
    <w:rsid w:val="55E52EA7"/>
    <w:rsid w:val="5646219E"/>
    <w:rsid w:val="56A27AC3"/>
    <w:rsid w:val="56E2104B"/>
    <w:rsid w:val="56ED7146"/>
    <w:rsid w:val="56EF02B0"/>
    <w:rsid w:val="56FD2FF0"/>
    <w:rsid w:val="57084412"/>
    <w:rsid w:val="57821E91"/>
    <w:rsid w:val="57953FAB"/>
    <w:rsid w:val="57AF59A2"/>
    <w:rsid w:val="586E38B4"/>
    <w:rsid w:val="58B967BC"/>
    <w:rsid w:val="59135491"/>
    <w:rsid w:val="596979D6"/>
    <w:rsid w:val="598B63DE"/>
    <w:rsid w:val="59AE15DF"/>
    <w:rsid w:val="59B01F1B"/>
    <w:rsid w:val="59BE543D"/>
    <w:rsid w:val="59DE78DF"/>
    <w:rsid w:val="5AD72831"/>
    <w:rsid w:val="5ADC47DB"/>
    <w:rsid w:val="5B427B3E"/>
    <w:rsid w:val="5B5A1C0C"/>
    <w:rsid w:val="5BB622BC"/>
    <w:rsid w:val="5C125FE2"/>
    <w:rsid w:val="5C243D8C"/>
    <w:rsid w:val="5C5E05B7"/>
    <w:rsid w:val="5CA05FE6"/>
    <w:rsid w:val="5D9A5DDB"/>
    <w:rsid w:val="5DE874A4"/>
    <w:rsid w:val="5E4A6AA3"/>
    <w:rsid w:val="5E893211"/>
    <w:rsid w:val="5E910E9E"/>
    <w:rsid w:val="5ECD5B8E"/>
    <w:rsid w:val="5ED8568C"/>
    <w:rsid w:val="5ED932B0"/>
    <w:rsid w:val="5F083D91"/>
    <w:rsid w:val="5F2314AF"/>
    <w:rsid w:val="5F394C00"/>
    <w:rsid w:val="5FBE0979"/>
    <w:rsid w:val="5FCF7EF5"/>
    <w:rsid w:val="5FD85A4F"/>
    <w:rsid w:val="601D6CE0"/>
    <w:rsid w:val="608D6691"/>
    <w:rsid w:val="609E549F"/>
    <w:rsid w:val="60BD4A62"/>
    <w:rsid w:val="61067938"/>
    <w:rsid w:val="61071279"/>
    <w:rsid w:val="612D039C"/>
    <w:rsid w:val="61657059"/>
    <w:rsid w:val="6168035D"/>
    <w:rsid w:val="61881F1B"/>
    <w:rsid w:val="61B10262"/>
    <w:rsid w:val="61F25893"/>
    <w:rsid w:val="61FC4EA5"/>
    <w:rsid w:val="620A4A2C"/>
    <w:rsid w:val="62833E9C"/>
    <w:rsid w:val="62CE2D21"/>
    <w:rsid w:val="62D53006"/>
    <w:rsid w:val="63263AB1"/>
    <w:rsid w:val="63273E66"/>
    <w:rsid w:val="632C3834"/>
    <w:rsid w:val="63417D0D"/>
    <w:rsid w:val="6346619B"/>
    <w:rsid w:val="63E435B4"/>
    <w:rsid w:val="63EC0FF5"/>
    <w:rsid w:val="64765803"/>
    <w:rsid w:val="652434EA"/>
    <w:rsid w:val="652A2BE3"/>
    <w:rsid w:val="656C066C"/>
    <w:rsid w:val="65B56F0E"/>
    <w:rsid w:val="65EA1FD0"/>
    <w:rsid w:val="660F5690"/>
    <w:rsid w:val="66443F74"/>
    <w:rsid w:val="670D5B1C"/>
    <w:rsid w:val="670D5C59"/>
    <w:rsid w:val="674C5F18"/>
    <w:rsid w:val="67835550"/>
    <w:rsid w:val="67AB56A7"/>
    <w:rsid w:val="67E908F6"/>
    <w:rsid w:val="67F351EB"/>
    <w:rsid w:val="680E1B27"/>
    <w:rsid w:val="682A5504"/>
    <w:rsid w:val="682B3C37"/>
    <w:rsid w:val="689F3044"/>
    <w:rsid w:val="68AA002C"/>
    <w:rsid w:val="68EF433A"/>
    <w:rsid w:val="690C7596"/>
    <w:rsid w:val="69173731"/>
    <w:rsid w:val="691B52CC"/>
    <w:rsid w:val="692F13A6"/>
    <w:rsid w:val="69456720"/>
    <w:rsid w:val="69C42544"/>
    <w:rsid w:val="6A4968B7"/>
    <w:rsid w:val="6A577E29"/>
    <w:rsid w:val="6A6C0ACF"/>
    <w:rsid w:val="6A7B18B2"/>
    <w:rsid w:val="6A9102C3"/>
    <w:rsid w:val="6B137443"/>
    <w:rsid w:val="6B293EE4"/>
    <w:rsid w:val="6B3C1E4F"/>
    <w:rsid w:val="6B751215"/>
    <w:rsid w:val="6B9E7F44"/>
    <w:rsid w:val="6BFD0A09"/>
    <w:rsid w:val="6C500958"/>
    <w:rsid w:val="6C640BBC"/>
    <w:rsid w:val="6C645EC5"/>
    <w:rsid w:val="6C675E0E"/>
    <w:rsid w:val="6C916359"/>
    <w:rsid w:val="6CE83922"/>
    <w:rsid w:val="6CFC62AB"/>
    <w:rsid w:val="6CFD5B87"/>
    <w:rsid w:val="6D0D20D4"/>
    <w:rsid w:val="6DC74160"/>
    <w:rsid w:val="6DC801C1"/>
    <w:rsid w:val="6DE870B3"/>
    <w:rsid w:val="6DE92990"/>
    <w:rsid w:val="6DEC17C6"/>
    <w:rsid w:val="6E31383B"/>
    <w:rsid w:val="6E545780"/>
    <w:rsid w:val="6E5760EA"/>
    <w:rsid w:val="6E612F5F"/>
    <w:rsid w:val="6E755585"/>
    <w:rsid w:val="6EEB6429"/>
    <w:rsid w:val="6F0C26BD"/>
    <w:rsid w:val="6F744E42"/>
    <w:rsid w:val="6FA806D5"/>
    <w:rsid w:val="6FD14098"/>
    <w:rsid w:val="6FD21454"/>
    <w:rsid w:val="6FD8188D"/>
    <w:rsid w:val="6FE904A6"/>
    <w:rsid w:val="6FF31FF3"/>
    <w:rsid w:val="703C5227"/>
    <w:rsid w:val="70692EB6"/>
    <w:rsid w:val="70833A9A"/>
    <w:rsid w:val="70864F80"/>
    <w:rsid w:val="709F552E"/>
    <w:rsid w:val="70DD36C5"/>
    <w:rsid w:val="70E25F11"/>
    <w:rsid w:val="71171E4C"/>
    <w:rsid w:val="7149786A"/>
    <w:rsid w:val="7179679A"/>
    <w:rsid w:val="718B4CBF"/>
    <w:rsid w:val="71F42398"/>
    <w:rsid w:val="724009B3"/>
    <w:rsid w:val="726D6FF3"/>
    <w:rsid w:val="726E1F97"/>
    <w:rsid w:val="72AD64A6"/>
    <w:rsid w:val="72F24CF8"/>
    <w:rsid w:val="730F219F"/>
    <w:rsid w:val="73471CE5"/>
    <w:rsid w:val="73577AE7"/>
    <w:rsid w:val="73867048"/>
    <w:rsid w:val="743020BE"/>
    <w:rsid w:val="743F5D1C"/>
    <w:rsid w:val="7457301A"/>
    <w:rsid w:val="74862CB4"/>
    <w:rsid w:val="74BF3159"/>
    <w:rsid w:val="75121CF8"/>
    <w:rsid w:val="752F25E8"/>
    <w:rsid w:val="753242FF"/>
    <w:rsid w:val="75473605"/>
    <w:rsid w:val="75493EE6"/>
    <w:rsid w:val="7554493C"/>
    <w:rsid w:val="755E21AE"/>
    <w:rsid w:val="75835DA1"/>
    <w:rsid w:val="760A431F"/>
    <w:rsid w:val="7625741D"/>
    <w:rsid w:val="76521134"/>
    <w:rsid w:val="76871F6E"/>
    <w:rsid w:val="768B3706"/>
    <w:rsid w:val="76AD19BE"/>
    <w:rsid w:val="77064B33"/>
    <w:rsid w:val="77076FA7"/>
    <w:rsid w:val="77171149"/>
    <w:rsid w:val="77457C2D"/>
    <w:rsid w:val="77C00736"/>
    <w:rsid w:val="77EA623B"/>
    <w:rsid w:val="77FB0FCB"/>
    <w:rsid w:val="780C6F2A"/>
    <w:rsid w:val="783F531F"/>
    <w:rsid w:val="78D47CE5"/>
    <w:rsid w:val="78E33711"/>
    <w:rsid w:val="792033A2"/>
    <w:rsid w:val="794E6796"/>
    <w:rsid w:val="799457F0"/>
    <w:rsid w:val="79B46A4F"/>
    <w:rsid w:val="79B671B8"/>
    <w:rsid w:val="7A5B291A"/>
    <w:rsid w:val="7A5D7A85"/>
    <w:rsid w:val="7A801A0D"/>
    <w:rsid w:val="7AAB7A45"/>
    <w:rsid w:val="7AAF01C4"/>
    <w:rsid w:val="7BB26970"/>
    <w:rsid w:val="7BDB494E"/>
    <w:rsid w:val="7C3164B7"/>
    <w:rsid w:val="7C41226F"/>
    <w:rsid w:val="7C496A2C"/>
    <w:rsid w:val="7C974791"/>
    <w:rsid w:val="7CB26A4C"/>
    <w:rsid w:val="7CCE5DE3"/>
    <w:rsid w:val="7CF65EE2"/>
    <w:rsid w:val="7CFC13DA"/>
    <w:rsid w:val="7CFF2190"/>
    <w:rsid w:val="7D3E3339"/>
    <w:rsid w:val="7D734DD1"/>
    <w:rsid w:val="7E6D6E20"/>
    <w:rsid w:val="7EDE203F"/>
    <w:rsid w:val="7F8E1D5A"/>
    <w:rsid w:val="7FB74468"/>
    <w:rsid w:val="7FCD017F"/>
    <w:rsid w:val="7FCE44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uiPriority w:val="1"/>
  </w:style>
  <w:style w:type="table" w:default="1" w:styleId="7">
    <w:name w:val="Normal Table"/>
    <w:unhideWhenUsed/>
    <w:qFormat/>
    <w:uiPriority w:val="99"/>
    <w:tblPr>
      <w:tblStyle w:val="7"/>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qFormat/>
    <w:uiPriority w:val="0"/>
    <w:rPr>
      <w:rFonts w:ascii="宋体" w:hAnsi="Courier New" w:cs="Courier New"/>
      <w:szCs w:val="21"/>
    </w:rPr>
  </w:style>
  <w:style w:type="paragraph" w:styleId="4">
    <w:name w:val="Balloon Text"/>
    <w:basedOn w:val="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paragraph" w:customStyle="1" w:styleId="11">
    <w:name w:val="p0"/>
    <w:basedOn w:val="1"/>
    <w:qFormat/>
    <w:uiPriority w:val="0"/>
    <w:pPr>
      <w:widowControl/>
      <w:spacing w:line="540" w:lineRule="atLeast"/>
      <w:jc w:val="left"/>
    </w:pPr>
    <w:rPr>
      <w:kern w:val="0"/>
      <w:sz w:val="32"/>
      <w:szCs w:val="31"/>
    </w:rPr>
  </w:style>
  <w:style w:type="paragraph" w:customStyle="1" w:styleId="12">
    <w:name w:val="公文正文"/>
    <w:basedOn w:val="1"/>
    <w:qFormat/>
    <w:uiPriority w:val="0"/>
    <w:pPr>
      <w:spacing w:line="560" w:lineRule="exact"/>
      <w:ind w:firstLine="200" w:firstLineChars="200"/>
      <w:jc w:val="left"/>
    </w:pPr>
    <w:rPr>
      <w:rFonts w:ascii="仿宋_GB2312" w:eastAsia="仿宋_GB2312"/>
      <w:sz w:val="32"/>
    </w:rPr>
  </w:style>
  <w:style w:type="paragraph" w:customStyle="1" w:styleId="13">
    <w:name w:val="Char Char Char"/>
    <w:basedOn w:val="1"/>
    <w:qFormat/>
    <w:uiPriority w:val="0"/>
    <w:rPr>
      <w:rFonts w:ascii="Tahoma" w:hAnsi="Tahoma"/>
      <w:sz w:val="24"/>
      <w:szCs w:val="20"/>
    </w:rPr>
  </w:style>
  <w:style w:type="paragraph" w:customStyle="1" w:styleId="14">
    <w:name w:val="Char"/>
    <w:basedOn w:val="1"/>
    <w:qFormat/>
    <w:uiPriority w:val="0"/>
  </w:style>
  <w:style w:type="paragraph" w:customStyle="1" w:styleId="15">
    <w:name w:val="正文1"/>
    <w:qFormat/>
    <w:uiPriority w:val="0"/>
    <w:pPr>
      <w:widowControl w:val="0"/>
      <w:jc w:val="both"/>
    </w:pPr>
    <w:rPr>
      <w:rFonts w:hint="eastAsia"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29</Pages>
  <Words>2114</Words>
  <Characters>12051</Characters>
  <Lines>100</Lines>
  <Paragraphs>28</Paragraphs>
  <TotalTime>68</TotalTime>
  <ScaleCrop>false</ScaleCrop>
  <LinksUpToDate>false</LinksUpToDate>
  <CharactersWithSpaces>14137</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2017-08-10T02:01:00Z</dcterms:created>
  <dc:creator>dell</dc:creator>
  <cp:lastModifiedBy>Shu</cp:lastModifiedBy>
  <cp:lastPrinted>2021-12-03T01:47:25Z</cp:lastPrinted>
  <dcterms:modified xsi:type="dcterms:W3CDTF">2021-12-03T03:09:14Z</dcterms:modified>
  <dc:title>南边灶村庄整体搬迁房屋拆迁补偿安置办法</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71AC733DA9234BCE914D4899BB97B247</vt:lpwstr>
  </property>
</Properties>
</file>