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60" w:lineRule="exact"/>
        <w:textAlignment w:val="auto"/>
        <w:rPr>
          <w:rFonts w:hint="eastAsia" w:eastAsia="仿宋_GB2312"/>
          <w:sz w:val="32"/>
          <w:szCs w:val="32"/>
          <w:lang w:eastAsia="zh-CN"/>
        </w:rPr>
      </w:pPr>
      <w:r>
        <w:rPr>
          <w:rFonts w:hint="eastAsia"/>
          <w:sz w:val="32"/>
          <w:szCs w:val="32"/>
        </w:rPr>
        <w:t>附件</w:t>
      </w:r>
      <w:r>
        <w:rPr>
          <w:rFonts w:hint="eastAsia"/>
          <w:sz w:val="32"/>
          <w:szCs w:val="32"/>
          <w:lang w:val="en-US" w:eastAsia="zh-CN"/>
        </w:rPr>
        <w:t>3：</w:t>
      </w:r>
    </w:p>
    <w:p>
      <w:pPr>
        <w:keepNext w:val="0"/>
        <w:keepLines w:val="0"/>
        <w:pageBreakBefore w:val="0"/>
        <w:widowControl w:val="0"/>
        <w:kinsoku/>
        <w:wordWrap/>
        <w:overflowPunct/>
        <w:topLinePunct w:val="0"/>
        <w:autoSpaceDE/>
        <w:autoSpaceDN/>
        <w:bidi w:val="0"/>
        <w:adjustRightInd/>
        <w:spacing w:line="560" w:lineRule="exact"/>
        <w:ind w:firstLine="480" w:firstLineChars="150"/>
        <w:textAlignment w:val="auto"/>
        <w:rPr>
          <w:rFonts w:hint="eastAsia"/>
          <w:sz w:val="32"/>
          <w:szCs w:val="32"/>
        </w:rPr>
      </w:pPr>
      <w:r>
        <w:rPr>
          <w:rFonts w:hint="eastAsia"/>
          <w:sz w:val="32"/>
          <w:szCs w:val="32"/>
        </w:rPr>
        <w:t xml:space="preserve">     </w:t>
      </w:r>
    </w:p>
    <w:p>
      <w:pPr>
        <w:keepNext w:val="0"/>
        <w:keepLines w:val="0"/>
        <w:pageBreakBefore w:val="0"/>
        <w:widowControl w:val="0"/>
        <w:kinsoku/>
        <w:wordWrap/>
        <w:overflowPunct/>
        <w:topLinePunct w:val="0"/>
        <w:autoSpaceDE/>
        <w:autoSpaceDN/>
        <w:bidi w:val="0"/>
        <w:adjustRightInd/>
        <w:spacing w:line="560" w:lineRule="exact"/>
        <w:ind w:firstLine="480" w:firstLineChars="150"/>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黑体" w:hAnsi="黑体" w:eastAsia="黑体" w:cs="黑体"/>
          <w:sz w:val="44"/>
          <w:szCs w:val="44"/>
        </w:rPr>
      </w:pPr>
      <w:r>
        <w:rPr>
          <w:rFonts w:hint="eastAsia" w:ascii="黑体" w:hAnsi="黑体" w:eastAsia="黑体" w:cs="黑体"/>
          <w:sz w:val="44"/>
          <w:szCs w:val="44"/>
        </w:rPr>
        <w:t>大亚湾区</w:t>
      </w:r>
      <w:r>
        <w:rPr>
          <w:rFonts w:hint="eastAsia" w:ascii="黑体" w:hAnsi="黑体" w:eastAsia="黑体" w:cs="黑体"/>
          <w:sz w:val="44"/>
          <w:szCs w:val="44"/>
          <w:lang w:eastAsia="zh-CN"/>
        </w:rPr>
        <w:t>人大政协工作办公室</w:t>
      </w:r>
      <w:r>
        <w:rPr>
          <w:rFonts w:hint="eastAsia" w:ascii="黑体" w:hAnsi="黑体" w:eastAsia="黑体" w:cs="黑体"/>
          <w:sz w:val="44"/>
          <w:szCs w:val="44"/>
        </w:rPr>
        <w:t>整体绩效</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黑体" w:hAnsi="黑体" w:eastAsia="黑体" w:cs="黑体"/>
          <w:sz w:val="44"/>
          <w:szCs w:val="44"/>
        </w:rPr>
      </w:pPr>
      <w:r>
        <w:rPr>
          <w:rFonts w:hint="eastAsia" w:ascii="黑体" w:hAnsi="黑体" w:eastAsia="黑体" w:cs="黑体"/>
          <w:sz w:val="44"/>
          <w:szCs w:val="44"/>
        </w:rPr>
        <w:t>自评报告</w:t>
      </w:r>
    </w:p>
    <w:p>
      <w:pPr>
        <w:keepNext w:val="0"/>
        <w:keepLines w:val="0"/>
        <w:pageBreakBefore w:val="0"/>
        <w:widowControl w:val="0"/>
        <w:kinsoku/>
        <w:wordWrap/>
        <w:overflowPunct/>
        <w:topLinePunct w:val="0"/>
        <w:autoSpaceDE/>
        <w:autoSpaceDN/>
        <w:bidi w:val="0"/>
        <w:adjustRightInd/>
        <w:spacing w:line="560" w:lineRule="exact"/>
        <w:ind w:firstLine="450" w:firstLineChars="150"/>
        <w:textAlignment w:val="auto"/>
        <w:rPr>
          <w:rFonts w:hint="eastAsia"/>
          <w:sz w:val="30"/>
          <w:szCs w:val="30"/>
        </w:rPr>
      </w:pP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sz w:val="32"/>
          <w:szCs w:val="32"/>
        </w:rPr>
      </w:pPr>
      <w:r>
        <w:rPr>
          <w:rFonts w:hint="eastAsia"/>
          <w:sz w:val="32"/>
          <w:szCs w:val="32"/>
        </w:rPr>
        <w:t xml:space="preserve">     </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sz w:val="32"/>
          <w:szCs w:val="32"/>
        </w:rPr>
      </w:pPr>
      <w:r>
        <w:rPr>
          <w:rFonts w:hint="eastAsia"/>
          <w:sz w:val="32"/>
          <w:szCs w:val="32"/>
        </w:rPr>
        <w:t xml:space="preserve">          </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pacing w:line="560" w:lineRule="exact"/>
        <w:ind w:firstLine="1600" w:firstLineChars="500"/>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pacing w:line="560" w:lineRule="exact"/>
        <w:ind w:firstLine="1600" w:firstLineChars="500"/>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pacing w:line="560" w:lineRule="exact"/>
        <w:ind w:firstLine="1600" w:firstLineChars="500"/>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pacing w:line="560" w:lineRule="exact"/>
        <w:ind w:firstLine="1600" w:firstLineChars="500"/>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pacing w:line="560" w:lineRule="exact"/>
        <w:ind w:firstLine="1600" w:firstLineChars="500"/>
        <w:textAlignment w:val="auto"/>
        <w:rPr>
          <w:rFonts w:hint="eastAsia" w:eastAsia="仿宋_GB2312"/>
          <w:sz w:val="32"/>
          <w:szCs w:val="32"/>
          <w:lang w:val="en-US" w:eastAsia="zh-CN"/>
        </w:rPr>
      </w:pPr>
      <w:r>
        <w:rPr>
          <w:rFonts w:hint="eastAsia"/>
          <w:sz w:val="32"/>
          <w:szCs w:val="32"/>
        </w:rPr>
        <w:t>部门名称：</w:t>
      </w:r>
      <w:r>
        <w:rPr>
          <w:rFonts w:hint="eastAsia"/>
          <w:sz w:val="32"/>
          <w:szCs w:val="32"/>
          <w:lang w:eastAsia="zh-CN"/>
        </w:rPr>
        <w:t>大亚湾区人大政协工作办公室</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eastAsia="仿宋_GB2312"/>
          <w:sz w:val="32"/>
          <w:szCs w:val="32"/>
          <w:lang w:eastAsia="zh-CN"/>
        </w:rPr>
      </w:pPr>
      <w:r>
        <w:rPr>
          <w:rFonts w:hint="eastAsia"/>
          <w:sz w:val="32"/>
          <w:szCs w:val="32"/>
        </w:rPr>
        <w:t xml:space="preserve">          填报人：</w:t>
      </w:r>
      <w:r>
        <w:rPr>
          <w:rFonts w:hint="eastAsia"/>
          <w:sz w:val="32"/>
          <w:szCs w:val="32"/>
          <w:lang w:eastAsia="zh-CN"/>
        </w:rPr>
        <w:t>李伙林</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eastAsia="仿宋_GB2312"/>
          <w:sz w:val="32"/>
          <w:szCs w:val="32"/>
          <w:lang w:val="en-US" w:eastAsia="zh-CN"/>
        </w:rPr>
      </w:pPr>
      <w:r>
        <w:rPr>
          <w:rFonts w:hint="eastAsia"/>
          <w:sz w:val="32"/>
          <w:szCs w:val="32"/>
        </w:rPr>
        <w:t xml:space="preserve">          联系电话：</w:t>
      </w:r>
      <w:r>
        <w:rPr>
          <w:rFonts w:hint="eastAsia"/>
          <w:sz w:val="32"/>
          <w:szCs w:val="32"/>
          <w:lang w:val="en-US" w:eastAsia="zh-CN"/>
        </w:rPr>
        <w:t>5562029</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黑体" w:eastAsia="黑体"/>
          <w:sz w:val="32"/>
          <w:szCs w:val="32"/>
        </w:rPr>
      </w:pPr>
      <w:r>
        <w:rPr>
          <w:rFonts w:hint="eastAsia"/>
          <w:sz w:val="32"/>
          <w:szCs w:val="32"/>
        </w:rPr>
        <w:t xml:space="preserve">          填报日期：</w:t>
      </w:r>
      <w:r>
        <w:rPr>
          <w:rFonts w:hint="eastAsia"/>
          <w:sz w:val="32"/>
          <w:szCs w:val="32"/>
          <w:lang w:val="en-US" w:eastAsia="zh-CN"/>
        </w:rPr>
        <w:t>2022年5月25日</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rPr>
        <w:t>一、部门基本情况</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hAnsi="Adobe 楷体 Std R"/>
          <w:color w:val="000000"/>
          <w:sz w:val="32"/>
          <w:szCs w:val="32"/>
        </w:rPr>
      </w:pPr>
      <w:r>
        <w:rPr>
          <w:rFonts w:hint="eastAsia" w:hAnsi="Adobe 楷体 Std R"/>
          <w:color w:val="000000"/>
          <w:sz w:val="32"/>
          <w:szCs w:val="32"/>
        </w:rPr>
        <w:t>（一）</w:t>
      </w:r>
      <w:r>
        <w:rPr>
          <w:rFonts w:hint="eastAsia" w:hAnsi="Adobe 楷体 Std R"/>
          <w:color w:val="000000"/>
          <w:sz w:val="32"/>
          <w:szCs w:val="32"/>
          <w:lang w:eastAsia="zh-CN"/>
        </w:rPr>
        <w:t>部门职能</w:t>
      </w:r>
      <w:r>
        <w:rPr>
          <w:rFonts w:hint="eastAsia" w:hAnsi="Adobe 楷体 Std R"/>
          <w:color w:val="000000"/>
          <w:sz w:val="32"/>
          <w:szCs w:val="32"/>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hAnsi="Adobe 楷体 Std R"/>
          <w:color w:val="000000"/>
          <w:sz w:val="32"/>
          <w:szCs w:val="32"/>
        </w:rPr>
      </w:pPr>
      <w:r>
        <w:rPr>
          <w:rFonts w:hint="eastAsia" w:hAnsi="Adobe 楷体 Std R"/>
          <w:color w:val="000000"/>
          <w:sz w:val="32"/>
          <w:szCs w:val="32"/>
        </w:rPr>
        <w:t>大亚湾区人大工作办公室和大亚湾区政协工作办公室，不定级，两块牌子一套人马，简称“区人大政协工作办公室”，区人大政协工作办公室设2个内设机构，均为副科级。</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hAnsi="Adobe 楷体 Std R"/>
          <w:color w:val="000000"/>
          <w:sz w:val="32"/>
          <w:szCs w:val="32"/>
        </w:rPr>
      </w:pPr>
      <w:r>
        <w:rPr>
          <w:rFonts w:hint="eastAsia" w:hAnsi="Adobe 楷体 Std R"/>
          <w:color w:val="000000"/>
          <w:sz w:val="32"/>
          <w:szCs w:val="32"/>
        </w:rPr>
        <w:t>大亚湾区人大工作办公室和大亚湾区政协工作办公室单位性质为行政单位，隶属关系为大亚湾区管委会。主要职能是，担负服务、联系和协调区内各级人大代表、政协委员的工作，组织人大代表履行职责和政协委员参政议政。</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hAnsi="仿宋_GB2312" w:cs="仿宋_GB2312"/>
          <w:sz w:val="32"/>
          <w:szCs w:val="32"/>
        </w:rPr>
      </w:pPr>
      <w:r>
        <w:rPr>
          <w:rFonts w:hint="eastAsia" w:hAnsi="仿宋_GB2312" w:cs="仿宋_GB2312"/>
          <w:sz w:val="32"/>
          <w:szCs w:val="32"/>
        </w:rPr>
        <w:t>年度总体工作和重点工作任务。</w:t>
      </w:r>
    </w:p>
    <w:p>
      <w:pPr>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lang w:eastAsia="zh-CN"/>
        </w:rPr>
      </w:pPr>
      <w:r>
        <w:rPr>
          <w:rFonts w:hint="eastAsia" w:hAnsi="仿宋_GB2312" w:cs="仿宋_GB2312"/>
          <w:b w:val="0"/>
          <w:bCs w:val="0"/>
          <w:sz w:val="32"/>
          <w:szCs w:val="32"/>
          <w:lang w:val="en-US" w:eastAsia="zh-CN"/>
        </w:rPr>
        <w:t>1.</w:t>
      </w:r>
      <w:r>
        <w:rPr>
          <w:rFonts w:hint="eastAsia" w:ascii="仿宋_GB2312" w:hAnsi="仿宋_GB2312" w:eastAsia="仿宋_GB2312" w:cs="仿宋_GB2312"/>
          <w:b w:val="0"/>
          <w:bCs w:val="0"/>
          <w:sz w:val="32"/>
          <w:szCs w:val="32"/>
          <w:lang w:eastAsia="zh-CN"/>
        </w:rPr>
        <w:t>加强人大代表</w:t>
      </w:r>
      <w:r>
        <w:rPr>
          <w:rFonts w:hint="eastAsia" w:hAnsi="仿宋_GB2312" w:cs="仿宋_GB2312"/>
          <w:b w:val="0"/>
          <w:bCs w:val="0"/>
          <w:sz w:val="32"/>
          <w:szCs w:val="32"/>
          <w:lang w:eastAsia="zh-CN"/>
        </w:rPr>
        <w:t>中心</w:t>
      </w:r>
      <w:r>
        <w:rPr>
          <w:rFonts w:hint="eastAsia" w:ascii="仿宋_GB2312" w:hAnsi="仿宋_GB2312" w:eastAsia="仿宋_GB2312" w:cs="仿宋_GB2312"/>
          <w:b w:val="0"/>
          <w:bCs w:val="0"/>
          <w:sz w:val="32"/>
          <w:szCs w:val="32"/>
          <w:lang w:eastAsia="zh-CN"/>
        </w:rPr>
        <w:t>联络站规范化建设</w:t>
      </w:r>
      <w:r>
        <w:rPr>
          <w:rFonts w:hint="eastAsia" w:hAnsi="仿宋_GB2312" w:cs="仿宋_GB2312"/>
          <w:b w:val="0"/>
          <w:bCs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hAnsi="仿宋_GB2312" w:cs="仿宋_GB2312"/>
          <w:b w:val="0"/>
          <w:bCs w:val="0"/>
          <w:sz w:val="32"/>
          <w:szCs w:val="32"/>
          <w:lang w:eastAsia="zh-CN"/>
        </w:rPr>
      </w:pPr>
      <w:r>
        <w:rPr>
          <w:rFonts w:hint="eastAsia" w:hAnsi="仿宋_GB2312" w:cs="仿宋_GB2312"/>
          <w:b w:val="0"/>
          <w:bCs w:val="0"/>
          <w:sz w:val="32"/>
          <w:szCs w:val="32"/>
          <w:lang w:val="en-US" w:eastAsia="zh-CN"/>
        </w:rPr>
        <w:t>2.</w:t>
      </w:r>
      <w:r>
        <w:rPr>
          <w:rFonts w:hint="eastAsia" w:hAnsi="仿宋_GB2312" w:cs="仿宋_GB2312"/>
          <w:b w:val="0"/>
          <w:bCs w:val="0"/>
          <w:sz w:val="32"/>
          <w:szCs w:val="32"/>
          <w:lang w:eastAsia="zh-CN"/>
        </w:rPr>
        <w:t>充分发挥人大代表、政协委员作用。</w:t>
      </w:r>
      <w:r>
        <w:rPr>
          <w:rFonts w:hint="eastAsia" w:ascii="仿宋_GB2312" w:hAnsi="仿宋_GB2312" w:eastAsia="仿宋_GB2312" w:cs="仿宋_GB2312"/>
          <w:b w:val="0"/>
          <w:bCs w:val="0"/>
          <w:sz w:val="32"/>
          <w:szCs w:val="32"/>
          <w:lang w:eastAsia="zh-CN"/>
        </w:rPr>
        <w:t>服务保障人大代表、政协委员参会履职</w:t>
      </w:r>
      <w:r>
        <w:rPr>
          <w:rFonts w:hint="eastAsia" w:hAnsi="仿宋_GB2312" w:cs="仿宋_GB2312"/>
          <w:b w:val="0"/>
          <w:bCs w:val="0"/>
          <w:sz w:val="32"/>
          <w:szCs w:val="32"/>
          <w:lang w:eastAsia="zh-CN"/>
        </w:rPr>
        <w:t>；</w:t>
      </w:r>
      <w:r>
        <w:rPr>
          <w:rFonts w:hint="eastAsia" w:ascii="仿宋_GB2312" w:hAnsi="仿宋_GB2312" w:eastAsia="仿宋_GB2312" w:cs="仿宋_GB2312"/>
          <w:b w:val="0"/>
          <w:bCs w:val="0"/>
          <w:sz w:val="32"/>
          <w:szCs w:val="32"/>
          <w:lang w:eastAsia="zh-CN"/>
        </w:rPr>
        <w:t>围绕中心工作开展代表、委员调研视察工作，切实履行人大代表、政协委员职能</w:t>
      </w:r>
      <w:r>
        <w:rPr>
          <w:rFonts w:hint="eastAsia" w:hAnsi="仿宋_GB2312" w:cs="仿宋_GB2312"/>
          <w:b w:val="0"/>
          <w:bCs w:val="0"/>
          <w:sz w:val="32"/>
          <w:szCs w:val="32"/>
          <w:lang w:eastAsia="zh-CN"/>
        </w:rPr>
        <w:t>；</w:t>
      </w:r>
      <w:r>
        <w:rPr>
          <w:rFonts w:hint="eastAsia" w:ascii="仿宋_GB2312" w:hAnsi="仿宋_GB2312" w:eastAsia="仿宋_GB2312" w:cs="仿宋_GB2312"/>
          <w:b w:val="0"/>
          <w:bCs w:val="0"/>
          <w:sz w:val="32"/>
          <w:szCs w:val="32"/>
          <w:lang w:eastAsia="zh-CN"/>
        </w:rPr>
        <w:t>加强组织人大代表、政协委员学习，提高代表、委员履职能力</w:t>
      </w:r>
      <w:r>
        <w:rPr>
          <w:rFonts w:hint="eastAsia" w:hAnsi="仿宋_GB2312" w:cs="仿宋_GB2312"/>
          <w:b w:val="0"/>
          <w:bCs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hAnsi="仿宋_GB2312" w:cs="仿宋_GB2312"/>
          <w:b w:val="0"/>
          <w:bCs w:val="0"/>
          <w:sz w:val="32"/>
          <w:szCs w:val="32"/>
          <w:lang w:eastAsia="zh-CN"/>
        </w:rPr>
      </w:pPr>
      <w:r>
        <w:rPr>
          <w:rFonts w:hint="eastAsia" w:hAnsi="仿宋_GB2312" w:cs="仿宋_GB2312"/>
          <w:b w:val="0"/>
          <w:bCs w:val="0"/>
          <w:sz w:val="32"/>
          <w:szCs w:val="32"/>
          <w:lang w:val="en-US" w:eastAsia="zh-CN"/>
        </w:rPr>
        <w:t>3.推进街道人大建设。</w:t>
      </w:r>
      <w:r>
        <w:rPr>
          <w:rFonts w:hint="eastAsia" w:hAnsi="仿宋_GB2312" w:cs="仿宋_GB2312"/>
          <w:b w:val="0"/>
          <w:bCs w:val="0"/>
          <w:sz w:val="32"/>
          <w:szCs w:val="32"/>
          <w:lang w:eastAsia="zh-CN"/>
        </w:rPr>
        <w:t>发挥街道人大工委作用，强化人大监督职能，开展代表活动，积极发挥代表作用，加强人大代表与群众的联系。</w:t>
      </w:r>
    </w:p>
    <w:p>
      <w:pPr>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hAnsi="Adobe 楷体 Std R"/>
          <w:color w:val="000000"/>
          <w:sz w:val="32"/>
          <w:szCs w:val="32"/>
        </w:rPr>
      </w:pPr>
      <w:r>
        <w:rPr>
          <w:rFonts w:hint="eastAsia" w:hAnsi="仿宋_GB2312" w:cs="仿宋_GB2312"/>
          <w:b w:val="0"/>
          <w:bCs w:val="0"/>
          <w:sz w:val="32"/>
          <w:szCs w:val="32"/>
          <w:lang w:val="en-US" w:eastAsia="zh-CN"/>
        </w:rPr>
        <w:t>4.加强自身建设。加强业务培训和党性教育，进一步提高机关干部履职能力。</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hAnsi="仿宋_GB2312" w:cs="仿宋_GB2312"/>
          <w:sz w:val="32"/>
          <w:szCs w:val="32"/>
          <w:lang w:val="en-US" w:eastAsia="zh-CN"/>
        </w:rPr>
      </w:pPr>
      <w:r>
        <w:rPr>
          <w:rFonts w:hint="eastAsia" w:hAnsi="仿宋_GB2312" w:cs="仿宋_GB2312"/>
          <w:sz w:val="32"/>
          <w:szCs w:val="32"/>
        </w:rPr>
        <w:t>整体支出绩效目标。</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hAnsi="仿宋_GB2312" w:cs="仿宋_GB2312"/>
          <w:sz w:val="32"/>
          <w:szCs w:val="32"/>
          <w:lang w:val="en-US" w:eastAsia="zh-CN"/>
        </w:rPr>
      </w:pPr>
      <w:r>
        <w:rPr>
          <w:rFonts w:hint="eastAsia" w:hAnsi="仿宋_GB2312" w:cs="仿宋_GB2312"/>
          <w:sz w:val="32"/>
          <w:szCs w:val="32"/>
          <w:lang w:val="en-US" w:eastAsia="zh-CN"/>
        </w:rPr>
        <w:t>按照市人大、市政协和区委管委会的工作要求，负责完成本区人大政协各项工作。</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hAnsi="仿宋_GB2312" w:cs="仿宋_GB2312"/>
          <w:sz w:val="32"/>
          <w:szCs w:val="32"/>
          <w:lang w:val="en-US" w:eastAsia="zh-CN"/>
        </w:rPr>
      </w:pPr>
      <w:r>
        <w:rPr>
          <w:rFonts w:hint="eastAsia" w:hAnsi="仿宋_GB2312" w:cs="仿宋_GB2312"/>
          <w:sz w:val="32"/>
          <w:szCs w:val="32"/>
          <w:lang w:val="en-US" w:eastAsia="zh-CN"/>
        </w:rPr>
        <w:t xml:space="preserve">1.我办以会务服务为切入点，着力保障代表、委员参会履职，保障人大代表、政协委员参与市、区两会，提供会务费用保障。                  </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left"/>
        <w:textAlignment w:val="auto"/>
        <w:rPr>
          <w:rFonts w:hint="eastAsia" w:hAnsi="仿宋_GB2312" w:cs="仿宋_GB2312"/>
          <w:sz w:val="32"/>
          <w:szCs w:val="32"/>
          <w:lang w:val="en-US" w:eastAsia="zh-CN"/>
        </w:rPr>
      </w:pPr>
      <w:r>
        <w:rPr>
          <w:rFonts w:hint="eastAsia" w:hAnsi="仿宋_GB2312" w:cs="仿宋_GB2312"/>
          <w:sz w:val="32"/>
          <w:szCs w:val="32"/>
          <w:lang w:val="en-US" w:eastAsia="zh-CN"/>
        </w:rPr>
        <w:t xml:space="preserve">2.为强化人大代表、政协委员的学习和素质的提高，保障代表、委员视察和外出学习费用。 </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left"/>
        <w:textAlignment w:val="auto"/>
        <w:rPr>
          <w:rFonts w:hint="eastAsia" w:hAnsi="仿宋_GB2312" w:cs="仿宋_GB2312"/>
          <w:sz w:val="32"/>
          <w:szCs w:val="32"/>
          <w:lang w:val="en-US" w:eastAsia="zh-CN"/>
        </w:rPr>
      </w:pPr>
      <w:r>
        <w:rPr>
          <w:rFonts w:hint="eastAsia" w:hAnsi="仿宋_GB2312" w:cs="仿宋_GB2312"/>
          <w:sz w:val="32"/>
          <w:szCs w:val="32"/>
          <w:lang w:val="en-US" w:eastAsia="zh-CN"/>
        </w:rPr>
        <w:t xml:space="preserve">3.为严格按照上级有关要求，加强接待工作服务力度，确保上级来我区的调研、视察工作顺利高效开展，保障各级人大、政协和代表委员前来我区考察学习费用。   </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left"/>
        <w:textAlignment w:val="auto"/>
        <w:rPr>
          <w:rFonts w:hint="eastAsia" w:hAnsi="仿宋_GB2312" w:cs="仿宋_GB2312"/>
          <w:sz w:val="32"/>
          <w:szCs w:val="32"/>
          <w:lang w:val="en-US" w:eastAsia="zh-CN"/>
        </w:rPr>
      </w:pPr>
      <w:r>
        <w:rPr>
          <w:rFonts w:hint="eastAsia" w:hAnsi="仿宋_GB2312" w:cs="仿宋_GB2312"/>
          <w:sz w:val="32"/>
          <w:szCs w:val="32"/>
          <w:lang w:val="en-US" w:eastAsia="zh-CN"/>
        </w:rPr>
        <w:t>4.为发挥县街人大职能作用，加强市、县（区）、街道人大协调联动，强化工作指导和联系，增强代表履职责任和能力，提高县（区）、街道人大工作规范化水平，加强人大代表中心联络站规范化建设，保障推进县乡人大活动年活动费用。</w:t>
      </w:r>
    </w:p>
    <w:p>
      <w:pPr>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hAnsi="仿宋_GB2312" w:cs="仿宋_GB2312"/>
          <w:sz w:val="32"/>
          <w:szCs w:val="32"/>
          <w:lang w:val="en-US" w:eastAsia="zh-CN"/>
        </w:rPr>
      </w:pPr>
      <w:r>
        <w:rPr>
          <w:rFonts w:hint="eastAsia" w:hAnsi="仿宋_GB2312" w:cs="仿宋_GB2312"/>
          <w:b w:val="0"/>
          <w:bCs w:val="0"/>
          <w:sz w:val="32"/>
          <w:szCs w:val="32"/>
          <w:lang w:val="en-US" w:eastAsia="zh-CN"/>
        </w:rPr>
        <w:t>5.强化自身建设，组织开展党性教育活动。</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hAnsi="楷体_GB2312" w:cs="楷体_GB2312"/>
          <w:bCs/>
          <w:sz w:val="32"/>
          <w:szCs w:val="32"/>
        </w:rPr>
      </w:pPr>
      <w:r>
        <w:rPr>
          <w:rFonts w:hint="eastAsia" w:hAnsi="楷体_GB2312" w:cs="楷体_GB2312"/>
          <w:bCs/>
          <w:sz w:val="32"/>
          <w:szCs w:val="32"/>
        </w:rPr>
        <w:t>部门整体支出情况。</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hAnsi="楷体_GB2312" w:eastAsia="仿宋_GB2312" w:cs="楷体_GB2312"/>
          <w:bCs/>
          <w:sz w:val="32"/>
          <w:szCs w:val="32"/>
          <w:lang w:val="en-US" w:eastAsia="zh-CN"/>
        </w:rPr>
      </w:pPr>
      <w:r>
        <w:rPr>
          <w:rFonts w:hint="eastAsia" w:hAnsi="仿宋_GB2312" w:cs="仿宋_GB2312"/>
          <w:sz w:val="32"/>
          <w:szCs w:val="32"/>
          <w:lang w:val="en-US" w:eastAsia="zh-CN"/>
        </w:rPr>
        <w:t>我办</w:t>
      </w:r>
      <w:bookmarkStart w:id="0" w:name="PO_part3A1Year1"/>
      <w:r>
        <w:rPr>
          <w:rFonts w:hint="eastAsia" w:hAnsi="仿宋_GB2312" w:cs="仿宋_GB2312"/>
          <w:sz w:val="32"/>
          <w:szCs w:val="32"/>
          <w:lang w:val="en-US" w:eastAsia="zh-CN"/>
        </w:rPr>
        <w:t xml:space="preserve"> 20</w:t>
      </w:r>
      <w:bookmarkEnd w:id="0"/>
      <w:r>
        <w:rPr>
          <w:rFonts w:hint="eastAsia" w:hAnsi="仿宋_GB2312" w:cs="仿宋_GB2312"/>
          <w:sz w:val="32"/>
          <w:szCs w:val="32"/>
          <w:lang w:val="en-US" w:eastAsia="zh-CN"/>
        </w:rPr>
        <w:t>21年本部门收入预算</w:t>
      </w:r>
      <w:bookmarkStart w:id="1" w:name="PO_part3A1Amount1"/>
      <w:r>
        <w:rPr>
          <w:rFonts w:hint="eastAsia" w:hAnsi="仿宋_GB2312" w:cs="仿宋_GB2312"/>
          <w:sz w:val="32"/>
          <w:szCs w:val="32"/>
          <w:lang w:val="en-US" w:eastAsia="zh-CN"/>
        </w:rPr>
        <w:t xml:space="preserve"> </w:t>
      </w:r>
      <w:bookmarkEnd w:id="1"/>
      <w:r>
        <w:rPr>
          <w:rFonts w:hint="eastAsia" w:hAnsi="仿宋_GB2312" w:cs="仿宋_GB2312"/>
          <w:sz w:val="32"/>
          <w:szCs w:val="32"/>
          <w:lang w:val="en-US" w:eastAsia="zh-CN"/>
        </w:rPr>
        <w:t>4440166.20元，支出预算</w:t>
      </w:r>
      <w:bookmarkStart w:id="2" w:name="PO_part3A1Amount2"/>
      <w:r>
        <w:rPr>
          <w:rFonts w:hint="eastAsia" w:hAnsi="仿宋_GB2312" w:cs="仿宋_GB2312"/>
          <w:sz w:val="32"/>
          <w:szCs w:val="32"/>
          <w:lang w:val="en-US" w:eastAsia="zh-CN"/>
        </w:rPr>
        <w:t xml:space="preserve"> </w:t>
      </w:r>
      <w:bookmarkEnd w:id="2"/>
      <w:r>
        <w:rPr>
          <w:rFonts w:hint="eastAsia" w:hAnsi="仿宋_GB2312" w:cs="仿宋_GB2312"/>
          <w:sz w:val="32"/>
          <w:szCs w:val="32"/>
          <w:lang w:val="en-US" w:eastAsia="zh-CN"/>
        </w:rPr>
        <w:t>444016元。实际收入4704724.23元，实际支出4638308.91元，年末财政拨款结转和结余为70475.32元。其中三公经费预算30000元，实际支出为公务接待费支出15969.00元 ，未产生因公出国经费、公务车购置及运行费支出；会议费预算10000.00元，实际支出1806元；</w:t>
      </w:r>
      <w:r>
        <w:rPr>
          <w:rFonts w:hint="eastAsia" w:ascii="仿宋_GB2312" w:hAnsi="仿宋_GB2312" w:eastAsia="仿宋_GB2312" w:cs="仿宋_GB2312"/>
          <w:sz w:val="32"/>
          <w:szCs w:val="32"/>
        </w:rPr>
        <w:t>培训费预算</w:t>
      </w:r>
      <w:r>
        <w:rPr>
          <w:rFonts w:hint="eastAsia" w:hAnsi="仿宋_GB2312" w:cs="仿宋_GB2312"/>
          <w:sz w:val="32"/>
          <w:szCs w:val="32"/>
          <w:lang w:val="en-US" w:eastAsia="zh-CN"/>
        </w:rPr>
        <w:t>30000.00</w:t>
      </w:r>
      <w:r>
        <w:rPr>
          <w:rFonts w:hint="eastAsia" w:ascii="仿宋_GB2312" w:hAnsi="仿宋_GB2312" w:eastAsia="仿宋_GB2312" w:cs="仿宋_GB2312"/>
          <w:sz w:val="32"/>
          <w:szCs w:val="32"/>
          <w:lang w:val="en-US" w:eastAsia="zh-CN"/>
        </w:rPr>
        <w:t>元</w:t>
      </w:r>
      <w:r>
        <w:rPr>
          <w:rFonts w:hint="eastAsia" w:ascii="仿宋_GB2312" w:hAnsi="仿宋_GB2312" w:eastAsia="仿宋_GB2312" w:cs="仿宋_GB2312"/>
          <w:sz w:val="32"/>
          <w:szCs w:val="32"/>
        </w:rPr>
        <w:t>，实际支出</w:t>
      </w:r>
      <w:r>
        <w:rPr>
          <w:rFonts w:hint="eastAsia" w:hAnsi="仿宋_GB2312" w:cs="仿宋_GB2312"/>
          <w:sz w:val="32"/>
          <w:szCs w:val="32"/>
          <w:lang w:val="en-US" w:eastAsia="zh-CN"/>
        </w:rPr>
        <w:t>30085</w:t>
      </w:r>
      <w:r>
        <w:rPr>
          <w:rFonts w:hint="eastAsia" w:ascii="仿宋_GB2312" w:hAnsi="仿宋_GB2312" w:eastAsia="仿宋_GB2312" w:cs="仿宋_GB2312"/>
          <w:sz w:val="32"/>
          <w:szCs w:val="32"/>
          <w:lang w:eastAsia="zh-CN"/>
        </w:rPr>
        <w:t>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rPr>
        <w:t>二、绩效自评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hAnsi="仿宋_GB2312" w:cs="仿宋_GB2312"/>
          <w:sz w:val="32"/>
          <w:szCs w:val="32"/>
        </w:rPr>
      </w:pPr>
      <w:r>
        <w:rPr>
          <w:rFonts w:hint="eastAsia" w:hAnsi="仿宋_GB2312" w:cs="仿宋_GB2312"/>
          <w:sz w:val="32"/>
          <w:szCs w:val="32"/>
        </w:rPr>
        <w:t>（一）自评结</w:t>
      </w:r>
      <w:r>
        <w:rPr>
          <w:rFonts w:hint="eastAsia" w:hAnsi="仿宋_GB2312" w:cs="仿宋_GB2312"/>
          <w:sz w:val="32"/>
          <w:szCs w:val="32"/>
          <w:lang w:eastAsia="zh-CN"/>
        </w:rPr>
        <w:t>论</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rPr>
      </w:pPr>
      <w:r>
        <w:rPr>
          <w:rFonts w:hint="eastAsia"/>
          <w:sz w:val="32"/>
          <w:szCs w:val="32"/>
        </w:rPr>
        <w:t>20</w:t>
      </w:r>
      <w:r>
        <w:rPr>
          <w:rFonts w:hint="eastAsia"/>
          <w:sz w:val="32"/>
          <w:szCs w:val="32"/>
          <w:lang w:val="en-US" w:eastAsia="zh-CN"/>
        </w:rPr>
        <w:t>21</w:t>
      </w:r>
      <w:r>
        <w:rPr>
          <w:rFonts w:hint="eastAsia"/>
          <w:sz w:val="32"/>
          <w:szCs w:val="32"/>
        </w:rPr>
        <w:t>年，我单位积极履职，强化管理，较好地完成了年度工作目标。通过加强预算收支管理，不断建立健全内部管理制度，梳理内部管理流程，部门整体支出管理水平得到提升。根据部门整体支出绩效</w:t>
      </w:r>
      <w:r>
        <w:rPr>
          <w:rFonts w:hint="eastAsia"/>
          <w:sz w:val="32"/>
          <w:szCs w:val="32"/>
          <w:lang w:eastAsia="zh-CN"/>
        </w:rPr>
        <w:t>评价指标</w:t>
      </w:r>
      <w:r>
        <w:rPr>
          <w:rFonts w:hint="eastAsia"/>
          <w:sz w:val="32"/>
          <w:szCs w:val="32"/>
        </w:rPr>
        <w:t>，我单位20</w:t>
      </w:r>
      <w:r>
        <w:rPr>
          <w:rFonts w:hint="eastAsia"/>
          <w:sz w:val="32"/>
          <w:szCs w:val="32"/>
          <w:lang w:val="en-US" w:eastAsia="zh-CN"/>
        </w:rPr>
        <w:t>21</w:t>
      </w:r>
      <w:r>
        <w:rPr>
          <w:rFonts w:hint="eastAsia"/>
          <w:sz w:val="32"/>
          <w:szCs w:val="32"/>
        </w:rPr>
        <w:t>年度评价得分为</w:t>
      </w:r>
      <w:r>
        <w:rPr>
          <w:rFonts w:hint="eastAsia"/>
          <w:sz w:val="32"/>
          <w:szCs w:val="32"/>
          <w:lang w:val="en-US" w:eastAsia="zh-CN"/>
        </w:rPr>
        <w:t>98</w:t>
      </w:r>
      <w:r>
        <w:rPr>
          <w:rFonts w:hint="eastAsia"/>
          <w:sz w:val="32"/>
          <w:szCs w:val="32"/>
        </w:rPr>
        <w:t>分。</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rPr>
      </w:pPr>
      <w:r>
        <w:rPr>
          <w:rFonts w:hint="eastAsia"/>
          <w:sz w:val="32"/>
          <w:szCs w:val="32"/>
        </w:rPr>
        <w:t>部门整体支出</w:t>
      </w:r>
      <w:r>
        <w:rPr>
          <w:rFonts w:hint="eastAsia"/>
          <w:sz w:val="32"/>
          <w:szCs w:val="32"/>
          <w:lang w:eastAsia="zh-CN"/>
        </w:rPr>
        <w:t>绩效指标分析</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lang w:val="en-US" w:eastAsia="zh-CN"/>
        </w:rPr>
      </w:pPr>
      <w:r>
        <w:rPr>
          <w:rFonts w:hint="eastAsia"/>
          <w:sz w:val="32"/>
          <w:szCs w:val="32"/>
          <w:lang w:val="en-US" w:eastAsia="zh-CN"/>
        </w:rPr>
        <w:t>预算编制情况。</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left="-10" w:leftChars="0" w:firstLine="640" w:firstLineChars="0"/>
        <w:textAlignment w:val="auto"/>
        <w:rPr>
          <w:rFonts w:hint="eastAsia"/>
          <w:sz w:val="32"/>
          <w:szCs w:val="32"/>
          <w:lang w:val="en-US" w:eastAsia="zh-CN"/>
        </w:rPr>
      </w:pPr>
      <w:r>
        <w:rPr>
          <w:rFonts w:hint="eastAsia"/>
          <w:sz w:val="32"/>
          <w:szCs w:val="32"/>
          <w:lang w:val="en-US" w:eastAsia="zh-CN"/>
        </w:rPr>
        <w:t>预算编制。</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rPr>
          <w:rFonts w:hint="eastAsia"/>
          <w:sz w:val="32"/>
          <w:szCs w:val="32"/>
          <w:lang w:val="en-US" w:eastAsia="zh-CN"/>
        </w:rPr>
      </w:pPr>
      <w:r>
        <w:rPr>
          <w:rFonts w:hint="eastAsia"/>
          <w:sz w:val="32"/>
          <w:szCs w:val="32"/>
          <w:lang w:val="en-US" w:eastAsia="zh-CN"/>
        </w:rPr>
        <w:t xml:space="preserve">    </w:t>
      </w:r>
      <w:r>
        <w:rPr>
          <w:rFonts w:hint="eastAsia" w:ascii="仿宋" w:hAnsi="仿宋" w:eastAsia="仿宋" w:cs="仿宋"/>
          <w:sz w:val="32"/>
          <w:szCs w:val="32"/>
          <w:lang w:val="en-US" w:eastAsia="zh-CN"/>
        </w:rPr>
        <w:t>①</w:t>
      </w:r>
      <w:r>
        <w:rPr>
          <w:rFonts w:hint="eastAsia"/>
          <w:sz w:val="32"/>
          <w:szCs w:val="32"/>
          <w:lang w:val="en-US" w:eastAsia="zh-CN"/>
        </w:rPr>
        <w:t>预算编制合理性、规范性较好，自评得分5分。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default"/>
          <w:sz w:val="32"/>
          <w:szCs w:val="32"/>
          <w:lang w:val="en-US" w:eastAsia="zh-CN"/>
        </w:rPr>
      </w:pPr>
      <w:r>
        <w:rPr>
          <w:rFonts w:hint="eastAsia" w:ascii="仿宋" w:hAnsi="仿宋" w:eastAsia="仿宋" w:cs="仿宋"/>
          <w:sz w:val="32"/>
          <w:szCs w:val="32"/>
          <w:lang w:val="en-US" w:eastAsia="zh-CN"/>
        </w:rPr>
        <w:t>②</w:t>
      </w:r>
      <w:r>
        <w:rPr>
          <w:rFonts w:hint="eastAsia"/>
          <w:sz w:val="32"/>
          <w:szCs w:val="32"/>
          <w:lang w:val="en-US" w:eastAsia="zh-CN"/>
        </w:rPr>
        <w:t>财政拨款收入预算差异率，绩效指标明确性较好，自评得分5分。</w:t>
      </w:r>
    </w:p>
    <w:p>
      <w:pPr>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left="-10" w:leftChars="0" w:firstLine="640" w:firstLineChars="0"/>
        <w:textAlignment w:val="auto"/>
        <w:rPr>
          <w:rFonts w:hint="eastAsia"/>
          <w:sz w:val="32"/>
          <w:szCs w:val="32"/>
          <w:lang w:val="en-US" w:eastAsia="zh-CN"/>
        </w:rPr>
      </w:pPr>
      <w:r>
        <w:rPr>
          <w:rFonts w:hint="eastAsia"/>
          <w:sz w:val="32"/>
          <w:szCs w:val="32"/>
          <w:lang w:val="en-US" w:eastAsia="zh-CN"/>
        </w:rPr>
        <w:t>目标设置。</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default"/>
          <w:sz w:val="32"/>
          <w:szCs w:val="32"/>
          <w:lang w:val="en-US" w:eastAsia="zh-CN"/>
        </w:rPr>
      </w:pPr>
      <w:r>
        <w:rPr>
          <w:rFonts w:hint="eastAsia" w:ascii="仿宋" w:hAnsi="仿宋" w:eastAsia="仿宋" w:cs="仿宋"/>
          <w:sz w:val="32"/>
          <w:szCs w:val="32"/>
          <w:lang w:val="en-US" w:eastAsia="zh-CN"/>
        </w:rPr>
        <w:t>①</w:t>
      </w:r>
      <w:r>
        <w:rPr>
          <w:rFonts w:hint="eastAsia"/>
          <w:sz w:val="32"/>
          <w:szCs w:val="32"/>
          <w:lang w:val="en-US" w:eastAsia="zh-CN"/>
        </w:rPr>
        <w:t>绩效目标合理性、整体绩效目标覆盖与年度工作任务相符、整体绩效目标符合客观实际情况、整体绩效目标包括预期提供的公共产品或服务的产出数量、质量、成本以及预期达到的效果性，自评得5分。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lang w:val="en-US" w:eastAsia="zh-CN"/>
        </w:rPr>
      </w:pPr>
      <w:r>
        <w:rPr>
          <w:rFonts w:hint="eastAsia" w:ascii="仿宋" w:hAnsi="仿宋" w:eastAsia="仿宋" w:cs="仿宋"/>
          <w:sz w:val="32"/>
          <w:szCs w:val="32"/>
          <w:lang w:val="en-US" w:eastAsia="zh-CN"/>
        </w:rPr>
        <w:t>②</w:t>
      </w:r>
      <w:r>
        <w:rPr>
          <w:rFonts w:hint="eastAsia"/>
          <w:sz w:val="32"/>
          <w:szCs w:val="32"/>
          <w:lang w:val="en-US" w:eastAsia="zh-CN"/>
        </w:rPr>
        <w:t>绩效指标明确性较好，自评得分6分。其中，我办设置的绩效目标的金额与部门整体支出金额的比率为99%。</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left="0" w:leftChars="0" w:firstLine="640" w:firstLineChars="200"/>
        <w:textAlignment w:val="auto"/>
        <w:rPr>
          <w:rFonts w:hint="eastAsia"/>
          <w:sz w:val="32"/>
          <w:szCs w:val="32"/>
          <w:lang w:val="en-US" w:eastAsia="zh-CN"/>
        </w:rPr>
      </w:pPr>
      <w:r>
        <w:rPr>
          <w:rFonts w:hint="eastAsia"/>
          <w:sz w:val="32"/>
          <w:szCs w:val="32"/>
          <w:lang w:val="en-US" w:eastAsia="zh-CN"/>
        </w:rPr>
        <w:t>预算执行情况。</w:t>
      </w:r>
    </w:p>
    <w:p>
      <w:pPr>
        <w:keepNext w:val="0"/>
        <w:keepLines w:val="0"/>
        <w:pageBreakBefore w:val="0"/>
        <w:widowControl w:val="0"/>
        <w:numPr>
          <w:ilvl w:val="0"/>
          <w:numId w:val="5"/>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lang w:val="en-US" w:eastAsia="zh-CN"/>
        </w:rPr>
      </w:pPr>
      <w:r>
        <w:rPr>
          <w:rFonts w:hint="eastAsia"/>
          <w:sz w:val="32"/>
          <w:szCs w:val="32"/>
          <w:lang w:val="en-US" w:eastAsia="zh-CN"/>
        </w:rPr>
        <w:t>资金管理。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lang w:val="en-US" w:eastAsia="zh-CN"/>
        </w:rPr>
      </w:pPr>
      <w:r>
        <w:rPr>
          <w:rFonts w:hint="eastAsia" w:ascii="仿宋" w:hAnsi="仿宋" w:eastAsia="仿宋" w:cs="仿宋"/>
          <w:sz w:val="32"/>
          <w:szCs w:val="32"/>
          <w:lang w:val="en-US" w:eastAsia="zh-CN"/>
        </w:rPr>
        <w:t>①</w:t>
      </w:r>
      <w:r>
        <w:rPr>
          <w:rFonts w:hint="eastAsia"/>
          <w:sz w:val="32"/>
          <w:szCs w:val="32"/>
          <w:lang w:val="en-US" w:eastAsia="zh-CN"/>
        </w:rPr>
        <w:t>部门预算资金支出率，本年度部门实际支出数与财政下达资金数（包括年初预算数、年中追加数和上年结转数）的比率为98.21%，自评得6分。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Calibri" w:cs="Calibri"/>
          <w:sz w:val="32"/>
          <w:szCs w:val="32"/>
          <w:lang w:val="en-US" w:eastAsia="zh-CN"/>
        </w:rPr>
      </w:pPr>
      <w:r>
        <w:rPr>
          <w:rFonts w:hint="eastAsia" w:ascii="仿宋" w:hAnsi="仿宋" w:eastAsia="仿宋" w:cs="仿宋"/>
          <w:sz w:val="32"/>
          <w:szCs w:val="32"/>
          <w:lang w:val="en-US" w:eastAsia="zh-CN"/>
        </w:rPr>
        <w:t>②</w:t>
      </w:r>
      <w:r>
        <w:rPr>
          <w:rFonts w:hint="eastAsia" w:ascii="Calibri" w:cs="Calibri"/>
          <w:sz w:val="32"/>
          <w:szCs w:val="32"/>
          <w:lang w:val="en-US" w:eastAsia="zh-CN"/>
        </w:rPr>
        <w:t>结转结余率，部门当年度结转结余额与当年度预算总额的比率为1.50</w:t>
      </w:r>
      <w:bookmarkStart w:id="3" w:name="_GoBack"/>
      <w:bookmarkEnd w:id="3"/>
      <w:r>
        <w:rPr>
          <w:rFonts w:hint="eastAsia" w:ascii="Calibri" w:cs="Calibri"/>
          <w:sz w:val="32"/>
          <w:szCs w:val="32"/>
          <w:lang w:val="en-US" w:eastAsia="zh-CN"/>
        </w:rPr>
        <w:t>%，自评得3分。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default" w:ascii="Calibri" w:cs="Calibri"/>
          <w:sz w:val="32"/>
          <w:szCs w:val="32"/>
          <w:lang w:val="en-US" w:eastAsia="zh-CN"/>
        </w:rPr>
      </w:pPr>
      <w:r>
        <w:rPr>
          <w:rFonts w:hint="eastAsia" w:ascii="仿宋" w:hAnsi="仿宋" w:eastAsia="仿宋" w:cs="仿宋"/>
          <w:sz w:val="32"/>
          <w:szCs w:val="32"/>
          <w:lang w:val="en-US" w:eastAsia="zh-CN"/>
        </w:rPr>
        <w:t>③</w:t>
      </w:r>
      <w:r>
        <w:rPr>
          <w:rFonts w:hint="eastAsia" w:ascii="Calibri" w:cs="Calibri"/>
          <w:sz w:val="32"/>
          <w:szCs w:val="32"/>
          <w:lang w:val="en-US" w:eastAsia="zh-CN"/>
        </w:rPr>
        <w:t>国库集中支付结转结余存量资金效率性，部门的财政存量考核中国库集中支付结转结余存量资金为0，自评得3分。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Calibri" w:cs="Calibri"/>
          <w:sz w:val="32"/>
          <w:szCs w:val="32"/>
          <w:lang w:val="en-US" w:eastAsia="zh-CN"/>
        </w:rPr>
      </w:pPr>
      <w:r>
        <w:rPr>
          <w:rFonts w:hint="eastAsia" w:hAnsi="微软雅黑" w:eastAsia="微软雅黑" w:cs="微软雅黑" w:asciiTheme="minorAscii"/>
          <w:sz w:val="32"/>
          <w:szCs w:val="32"/>
          <w:lang w:val="en-US" w:eastAsia="zh-CN"/>
        </w:rPr>
        <w:t>④</w:t>
      </w:r>
      <w:r>
        <w:rPr>
          <w:rFonts w:hint="eastAsia"/>
          <w:sz w:val="32"/>
          <w:szCs w:val="32"/>
          <w:lang w:val="en-US" w:eastAsia="zh-CN"/>
        </w:rPr>
        <w:t>政府采购执行率，</w:t>
      </w:r>
      <w:r>
        <w:rPr>
          <w:rFonts w:hint="eastAsia" w:ascii="仿宋" w:hAnsi="仿宋" w:eastAsia="仿宋" w:cs="仿宋"/>
          <w:sz w:val="32"/>
          <w:szCs w:val="32"/>
          <w:lang w:val="en-US" w:eastAsia="zh-CN"/>
        </w:rPr>
        <w:t>部门本年度实际政府采购金额与年度政府采购预算的比率为94.78%，</w:t>
      </w:r>
      <w:r>
        <w:rPr>
          <w:rFonts w:hint="eastAsia" w:ascii="Calibri" w:cs="Calibri"/>
          <w:sz w:val="32"/>
          <w:szCs w:val="32"/>
          <w:lang w:val="en-US" w:eastAsia="zh-CN"/>
        </w:rPr>
        <w:t>自评得3分。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lang w:val="en-US" w:eastAsia="zh-CN"/>
        </w:rPr>
      </w:pPr>
      <w:r>
        <w:rPr>
          <w:rFonts w:hint="eastAsia" w:ascii="微软雅黑" w:hAnsi="微软雅黑" w:eastAsia="微软雅黑" w:cs="微软雅黑"/>
          <w:sz w:val="32"/>
          <w:szCs w:val="32"/>
          <w:lang w:val="en-US" w:eastAsia="zh-CN"/>
        </w:rPr>
        <w:t>⑤</w:t>
      </w:r>
      <w:r>
        <w:rPr>
          <w:rFonts w:hint="eastAsia"/>
          <w:sz w:val="32"/>
          <w:szCs w:val="32"/>
          <w:lang w:val="en-US" w:eastAsia="zh-CN"/>
        </w:rPr>
        <w:t>财务合规性，区人大严格执行资金管理、费用支出等制度。会计核算规范，不存在支出依据不合规、虚列项目支出的情况；不存在截留、挤占、挪用项目资金情况；不存在超标准开支情况，自评得6分。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lang w:val="en-US" w:eastAsia="zh-CN"/>
        </w:rPr>
      </w:pPr>
      <w:r>
        <w:rPr>
          <w:rFonts w:hint="eastAsia" w:ascii="微软雅黑" w:hAnsi="微软雅黑" w:eastAsia="微软雅黑" w:cs="微软雅黑"/>
          <w:sz w:val="32"/>
          <w:szCs w:val="32"/>
          <w:lang w:val="en-US" w:eastAsia="zh-CN"/>
        </w:rPr>
        <w:t>⑥</w:t>
      </w:r>
      <w:r>
        <w:rPr>
          <w:rFonts w:hint="eastAsia"/>
          <w:sz w:val="32"/>
          <w:szCs w:val="32"/>
          <w:lang w:val="en-US" w:eastAsia="zh-CN"/>
        </w:rPr>
        <w:t>预决算信息公开性，按规定内容、在规定时限和范围内公开，自评得4分。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lang w:val="en-US" w:eastAsia="zh-CN"/>
        </w:rPr>
      </w:pPr>
      <w:r>
        <w:rPr>
          <w:rFonts w:hint="eastAsia" w:ascii="微软雅黑" w:hAnsi="微软雅黑" w:eastAsia="微软雅黑" w:cs="微软雅黑"/>
          <w:sz w:val="32"/>
          <w:szCs w:val="32"/>
          <w:lang w:val="en-US" w:eastAsia="zh-CN"/>
        </w:rPr>
        <w:t>⑦</w:t>
      </w:r>
      <w:r>
        <w:rPr>
          <w:rFonts w:hint="eastAsia"/>
          <w:sz w:val="32"/>
          <w:szCs w:val="32"/>
          <w:lang w:val="en-US" w:eastAsia="zh-CN"/>
        </w:rPr>
        <w:t>绩效信息公开性，按规定内容、在规定时限和范围内公开，自评得2分。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default"/>
          <w:sz w:val="32"/>
          <w:szCs w:val="32"/>
          <w:lang w:val="en-US" w:eastAsia="zh-CN"/>
        </w:rPr>
      </w:pPr>
      <w:r>
        <w:rPr>
          <w:rFonts w:hint="eastAsia"/>
          <w:sz w:val="32"/>
          <w:szCs w:val="32"/>
          <w:lang w:val="en-US" w:eastAsia="zh-CN"/>
        </w:rPr>
        <w:t>（2）项目管理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hAnsi="仿宋_GB2312" w:cs="仿宋_GB2312"/>
          <w:sz w:val="32"/>
          <w:szCs w:val="32"/>
          <w:lang w:val="en-US" w:eastAsia="zh-CN"/>
        </w:rPr>
      </w:pPr>
      <w:r>
        <w:rPr>
          <w:rFonts w:hint="eastAsia" w:ascii="微软雅黑" w:hAnsi="微软雅黑" w:eastAsia="微软雅黑" w:cs="微软雅黑"/>
          <w:sz w:val="32"/>
          <w:szCs w:val="32"/>
          <w:lang w:val="en-US" w:eastAsia="zh-CN"/>
        </w:rPr>
        <w:t>①</w:t>
      </w:r>
      <w:r>
        <w:rPr>
          <w:rFonts w:hint="eastAsia" w:hAnsi="仿宋_GB2312" w:cs="仿宋_GB2312"/>
          <w:sz w:val="32"/>
          <w:szCs w:val="32"/>
          <w:lang w:val="en-US" w:eastAsia="zh-CN"/>
        </w:rPr>
        <w:t>项目实施程序，本部门没有相关项目，自评得2分。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hAnsi="仿宋_GB2312" w:cs="仿宋_GB2312"/>
          <w:sz w:val="32"/>
          <w:szCs w:val="32"/>
          <w:lang w:val="en-US" w:eastAsia="zh-CN"/>
        </w:rPr>
      </w:pPr>
      <w:r>
        <w:rPr>
          <w:rFonts w:hint="eastAsia" w:ascii="微软雅黑" w:hAnsi="微软雅黑" w:eastAsia="微软雅黑" w:cs="微软雅黑"/>
          <w:sz w:val="32"/>
          <w:szCs w:val="32"/>
          <w:lang w:val="en-US" w:eastAsia="zh-CN"/>
        </w:rPr>
        <w:t>②</w:t>
      </w:r>
      <w:r>
        <w:rPr>
          <w:rFonts w:hint="eastAsia" w:hAnsi="仿宋_GB2312" w:cs="仿宋_GB2312"/>
          <w:sz w:val="32"/>
          <w:szCs w:val="32"/>
          <w:lang w:val="en-US" w:eastAsia="zh-CN"/>
        </w:rPr>
        <w:t>项目监管，本部门没有相关项目，自评得3分。</w:t>
      </w:r>
    </w:p>
    <w:p>
      <w:pPr>
        <w:keepNext w:val="0"/>
        <w:keepLines w:val="0"/>
        <w:pageBreakBefore w:val="0"/>
        <w:widowControl w:val="0"/>
        <w:numPr>
          <w:ilvl w:val="0"/>
          <w:numId w:val="5"/>
        </w:numPr>
        <w:kinsoku/>
        <w:wordWrap/>
        <w:overflowPunct/>
        <w:topLinePunct w:val="0"/>
        <w:autoSpaceDE/>
        <w:autoSpaceDN/>
        <w:bidi w:val="0"/>
        <w:adjustRightInd/>
        <w:snapToGrid w:val="0"/>
        <w:spacing w:line="560" w:lineRule="exact"/>
        <w:ind w:left="0" w:leftChars="0" w:firstLine="640" w:firstLineChars="200"/>
        <w:textAlignment w:val="auto"/>
        <w:rPr>
          <w:rFonts w:hint="eastAsia" w:hAnsi="仿宋_GB2312" w:cs="仿宋_GB2312"/>
          <w:sz w:val="32"/>
          <w:szCs w:val="32"/>
          <w:lang w:val="en-US" w:eastAsia="zh-CN"/>
        </w:rPr>
      </w:pPr>
      <w:r>
        <w:rPr>
          <w:rFonts w:hint="eastAsia" w:hAnsi="仿宋_GB2312" w:cs="仿宋_GB2312"/>
          <w:sz w:val="32"/>
          <w:szCs w:val="32"/>
          <w:lang w:val="en-US" w:eastAsia="zh-CN"/>
        </w:rPr>
        <w:t>资产管理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hAnsi="仿宋_GB2312" w:cs="仿宋_GB2312"/>
          <w:sz w:val="32"/>
          <w:szCs w:val="32"/>
          <w:lang w:val="en-US" w:eastAsia="zh-CN"/>
        </w:rPr>
      </w:pPr>
      <w:r>
        <w:rPr>
          <w:rFonts w:hint="eastAsia" w:ascii="微软雅黑" w:hAnsi="微软雅黑" w:eastAsia="微软雅黑" w:cs="微软雅黑"/>
          <w:sz w:val="32"/>
          <w:szCs w:val="32"/>
          <w:lang w:val="en-US" w:eastAsia="zh-CN"/>
        </w:rPr>
        <w:t>①</w:t>
      </w:r>
      <w:r>
        <w:rPr>
          <w:rFonts w:hint="eastAsia" w:hAnsi="仿宋_GB2312" w:cs="仿宋_GB2312"/>
          <w:sz w:val="32"/>
          <w:szCs w:val="32"/>
          <w:lang w:val="en-US" w:eastAsia="zh-CN"/>
        </w:rPr>
        <w:t>报送及时性，行政事业性国有资产年报和月报均能按时报送。自评得2分。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default" w:hAnsi="仿宋_GB2312" w:cs="仿宋_GB2312"/>
          <w:sz w:val="32"/>
          <w:szCs w:val="32"/>
          <w:lang w:val="en-US" w:eastAsia="zh-CN"/>
        </w:rPr>
      </w:pPr>
      <w:r>
        <w:rPr>
          <w:rFonts w:hint="eastAsia" w:ascii="微软雅黑" w:hAnsi="微软雅黑" w:eastAsia="微软雅黑" w:cs="微软雅黑"/>
          <w:sz w:val="32"/>
          <w:szCs w:val="32"/>
          <w:lang w:val="en-US" w:eastAsia="zh-CN"/>
        </w:rPr>
        <w:t>②</w:t>
      </w:r>
      <w:r>
        <w:rPr>
          <w:rFonts w:hint="eastAsia" w:hAnsi="仿宋_GB2312" w:cs="仿宋_GB2312"/>
          <w:sz w:val="32"/>
          <w:szCs w:val="32"/>
          <w:lang w:val="en-US" w:eastAsia="zh-CN"/>
        </w:rPr>
        <w:t>数据质量，部门行政事业性国有资产年报数据完整、准确，核实性问题均能提供有效、真实的说明，自评得3分。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default" w:hAnsi="仿宋_GB2312" w:cs="仿宋_GB2312"/>
          <w:sz w:val="32"/>
          <w:szCs w:val="32"/>
          <w:lang w:val="en-US" w:eastAsia="zh-CN"/>
        </w:rPr>
      </w:pPr>
      <w:r>
        <w:rPr>
          <w:rFonts w:hint="eastAsia" w:ascii="微软雅黑" w:hAnsi="微软雅黑" w:eastAsia="微软雅黑" w:cs="微软雅黑"/>
          <w:sz w:val="32"/>
          <w:szCs w:val="32"/>
          <w:lang w:val="en-US" w:eastAsia="zh-CN"/>
        </w:rPr>
        <w:t>③</w:t>
      </w:r>
      <w:r>
        <w:rPr>
          <w:rFonts w:hint="eastAsia" w:hAnsi="仿宋_GB2312" w:cs="仿宋_GB2312"/>
          <w:sz w:val="32"/>
          <w:szCs w:val="32"/>
          <w:lang w:val="en-US" w:eastAsia="zh-CN"/>
        </w:rPr>
        <w:t>账务核对情况，资产账与财务账相符，自评得3分。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hAnsi="仿宋_GB2312" w:cs="仿宋_GB2312"/>
          <w:sz w:val="32"/>
          <w:szCs w:val="32"/>
          <w:lang w:val="en-US" w:eastAsia="zh-CN"/>
        </w:rPr>
      </w:pPr>
      <w:r>
        <w:rPr>
          <w:rFonts w:hint="eastAsia" w:ascii="微软雅黑" w:hAnsi="微软雅黑" w:eastAsia="微软雅黑" w:cs="微软雅黑"/>
          <w:sz w:val="32"/>
          <w:szCs w:val="32"/>
          <w:lang w:val="en-US" w:eastAsia="zh-CN"/>
        </w:rPr>
        <w:t>④</w:t>
      </w:r>
      <w:r>
        <w:rPr>
          <w:rFonts w:hint="eastAsia" w:hAnsi="仿宋_GB2312" w:cs="仿宋_GB2312"/>
          <w:sz w:val="32"/>
          <w:szCs w:val="32"/>
          <w:lang w:val="en-US" w:eastAsia="zh-CN"/>
        </w:rPr>
        <w:t>资产管理合规性，</w:t>
      </w:r>
      <w:r>
        <w:rPr>
          <w:rFonts w:hint="default" w:hAnsi="仿宋_GB2312" w:cs="仿宋_GB2312"/>
          <w:sz w:val="32"/>
          <w:szCs w:val="32"/>
          <w:lang w:val="en-US" w:eastAsia="zh-CN"/>
        </w:rPr>
        <w:t>建立行政事业性国有资产管理内部管理规程；按照内部管理制度执行，资产保存完整，配置合理、使用合规、处置规范</w:t>
      </w:r>
      <w:r>
        <w:rPr>
          <w:rFonts w:hint="eastAsia" w:hAnsi="仿宋_GB2312" w:cs="仿宋_GB2312"/>
          <w:sz w:val="32"/>
          <w:szCs w:val="32"/>
          <w:lang w:val="en-US" w:eastAsia="zh-CN"/>
        </w:rPr>
        <w:t>，自评得3分。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default" w:hAnsi="仿宋_GB2312" w:cs="仿宋_GB2312"/>
          <w:sz w:val="32"/>
          <w:szCs w:val="32"/>
          <w:lang w:val="en-US" w:eastAsia="zh-CN"/>
        </w:rPr>
      </w:pPr>
      <w:r>
        <w:rPr>
          <w:rFonts w:hint="eastAsia" w:ascii="微软雅黑" w:hAnsi="微软雅黑" w:eastAsia="微软雅黑" w:cs="微软雅黑"/>
          <w:sz w:val="32"/>
          <w:szCs w:val="32"/>
          <w:lang w:val="en-US" w:eastAsia="zh-CN"/>
        </w:rPr>
        <w:t>⑤</w:t>
      </w:r>
      <w:r>
        <w:rPr>
          <w:rFonts w:hint="eastAsia" w:hAnsi="仿宋_GB2312" w:cs="仿宋_GB2312"/>
          <w:sz w:val="32"/>
          <w:szCs w:val="32"/>
          <w:lang w:val="en-US" w:eastAsia="zh-CN"/>
        </w:rPr>
        <w:t>固定资产利用率，在用固定资产总额占比较高，自评得2分。</w:t>
      </w:r>
    </w:p>
    <w:p>
      <w:pPr>
        <w:keepNext w:val="0"/>
        <w:keepLines w:val="0"/>
        <w:pageBreakBefore w:val="0"/>
        <w:widowControl w:val="0"/>
        <w:numPr>
          <w:ilvl w:val="0"/>
          <w:numId w:val="3"/>
        </w:numPr>
        <w:kinsoku/>
        <w:wordWrap/>
        <w:overflowPunct/>
        <w:topLinePunct w:val="0"/>
        <w:autoSpaceDE/>
        <w:autoSpaceDN/>
        <w:bidi w:val="0"/>
        <w:adjustRightInd/>
        <w:snapToGrid w:val="0"/>
        <w:spacing w:line="560" w:lineRule="exact"/>
        <w:ind w:left="0" w:leftChars="0" w:firstLine="640" w:firstLineChars="200"/>
        <w:textAlignment w:val="auto"/>
        <w:rPr>
          <w:rFonts w:hint="eastAsia"/>
          <w:sz w:val="32"/>
          <w:szCs w:val="32"/>
          <w:lang w:val="en-US" w:eastAsia="zh-CN"/>
        </w:rPr>
      </w:pPr>
      <w:r>
        <w:rPr>
          <w:rFonts w:hint="eastAsia"/>
          <w:sz w:val="32"/>
          <w:szCs w:val="32"/>
          <w:lang w:val="en-US" w:eastAsia="zh-CN"/>
        </w:rPr>
        <w:t>预算使用效益。</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lang w:val="en-US" w:eastAsia="zh-CN"/>
        </w:rPr>
      </w:pPr>
      <w:r>
        <w:rPr>
          <w:rFonts w:hint="eastAsia"/>
          <w:sz w:val="32"/>
          <w:szCs w:val="32"/>
          <w:lang w:val="en-US" w:eastAsia="zh-CN"/>
        </w:rPr>
        <w:t>（1）经济性，公用经费控制率，本年度实际支出的公用经费总额与预算安排的公用经费总额的比率，100%。             “三公”经费实际支出数与预算安排的三公经费比率为68.37%。自评得4分。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default"/>
          <w:sz w:val="32"/>
          <w:szCs w:val="32"/>
          <w:lang w:val="en-US" w:eastAsia="zh-CN"/>
        </w:rPr>
      </w:pPr>
      <w:r>
        <w:rPr>
          <w:rFonts w:hint="eastAsia"/>
          <w:sz w:val="32"/>
          <w:szCs w:val="32"/>
          <w:lang w:val="en-US" w:eastAsia="zh-CN"/>
        </w:rPr>
        <w:t>（2）效率性</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lang w:val="en-US" w:eastAsia="zh-CN"/>
        </w:rPr>
      </w:pPr>
      <w:r>
        <w:rPr>
          <w:rFonts w:hint="eastAsia" w:ascii="微软雅黑" w:hAnsi="微软雅黑" w:eastAsia="微软雅黑" w:cs="微软雅黑"/>
          <w:sz w:val="32"/>
          <w:szCs w:val="32"/>
          <w:lang w:val="en-US" w:eastAsia="zh-CN"/>
        </w:rPr>
        <w:t>①</w:t>
      </w:r>
      <w:r>
        <w:rPr>
          <w:rFonts w:hint="eastAsia"/>
          <w:sz w:val="32"/>
          <w:szCs w:val="32"/>
          <w:lang w:val="en-US" w:eastAsia="zh-CN"/>
        </w:rPr>
        <w:t>重点工作完成率100%。自评得5分。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lang w:val="en-US" w:eastAsia="zh-CN"/>
        </w:rPr>
      </w:pPr>
      <w:r>
        <w:rPr>
          <w:rFonts w:hint="eastAsia" w:ascii="微软雅黑" w:hAnsi="微软雅黑" w:eastAsia="微软雅黑" w:cs="微软雅黑"/>
          <w:sz w:val="32"/>
          <w:szCs w:val="32"/>
          <w:lang w:val="en-US" w:eastAsia="zh-CN"/>
        </w:rPr>
        <w:t>②</w:t>
      </w:r>
      <w:r>
        <w:rPr>
          <w:rFonts w:hint="eastAsia"/>
          <w:sz w:val="32"/>
          <w:szCs w:val="32"/>
          <w:lang w:val="en-US" w:eastAsia="zh-CN"/>
        </w:rPr>
        <w:t>绩效目标完成率98.21%。自评得4分。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lang w:val="en-US" w:eastAsia="zh-CN"/>
        </w:rPr>
      </w:pPr>
      <w:r>
        <w:rPr>
          <w:rFonts w:hint="eastAsia"/>
          <w:sz w:val="32"/>
          <w:szCs w:val="32"/>
          <w:lang w:val="en-US" w:eastAsia="zh-CN"/>
        </w:rPr>
        <w:t>项目完成及时性，部分项目未按计划时间完成，由于疫情影响，年度计划安排的外出学习考察活动不能安排，故经费没按预算执行，自评得2分。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lang w:val="en-US" w:eastAsia="zh-CN"/>
        </w:rPr>
      </w:pPr>
      <w:r>
        <w:rPr>
          <w:rFonts w:hint="eastAsia"/>
          <w:sz w:val="32"/>
          <w:szCs w:val="32"/>
          <w:lang w:val="en-US" w:eastAsia="zh-CN"/>
        </w:rPr>
        <w:t>（3）效果性</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200" w:firstLine="320" w:firstLineChars="100"/>
        <w:textAlignment w:val="auto"/>
        <w:rPr>
          <w:rFonts w:hint="eastAsia"/>
          <w:sz w:val="32"/>
          <w:szCs w:val="32"/>
          <w:lang w:val="en-US" w:eastAsia="zh-CN"/>
        </w:rPr>
      </w:pPr>
      <w:r>
        <w:rPr>
          <w:rFonts w:hint="eastAsia" w:ascii="微软雅黑" w:hAnsi="微软雅黑" w:eastAsia="微软雅黑" w:cs="微软雅黑"/>
          <w:sz w:val="32"/>
          <w:szCs w:val="32"/>
          <w:lang w:val="en-US" w:eastAsia="zh-CN"/>
        </w:rPr>
        <w:t>①</w:t>
      </w:r>
      <w:r>
        <w:rPr>
          <w:rFonts w:hint="eastAsia"/>
          <w:sz w:val="32"/>
          <w:szCs w:val="32"/>
          <w:lang w:val="en-US" w:eastAsia="zh-CN"/>
        </w:rPr>
        <w:t>社会经济效益</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200" w:firstLine="320" w:firstLineChars="100"/>
        <w:textAlignment w:val="auto"/>
        <w:rPr>
          <w:rFonts w:hint="eastAsia"/>
          <w:sz w:val="32"/>
          <w:szCs w:val="32"/>
          <w:lang w:val="en-US" w:eastAsia="zh-CN"/>
        </w:rPr>
      </w:pPr>
      <w:r>
        <w:rPr>
          <w:rFonts w:hint="eastAsia"/>
          <w:sz w:val="32"/>
          <w:szCs w:val="32"/>
          <w:lang w:val="en-US" w:eastAsia="zh-CN"/>
        </w:rPr>
        <w:t>a.人大工作经费</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lang w:val="en-US" w:eastAsia="zh-CN"/>
        </w:rPr>
      </w:pPr>
      <w:r>
        <w:rPr>
          <w:rFonts w:hint="eastAsia"/>
          <w:sz w:val="32"/>
          <w:szCs w:val="32"/>
          <w:lang w:val="en-US" w:eastAsia="zh-CN"/>
        </w:rPr>
        <w:t>一是围绕中心工作组织人大代表开展调研视察工作，充分发挥人大代表建言献策的作用。</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lang w:val="en-US" w:eastAsia="zh-CN"/>
        </w:rPr>
      </w:pPr>
      <w:r>
        <w:rPr>
          <w:rFonts w:hint="eastAsia"/>
          <w:sz w:val="32"/>
          <w:szCs w:val="32"/>
          <w:lang w:val="en-US" w:eastAsia="zh-CN"/>
        </w:rPr>
        <w:t>二是保障人大代表参加两会，履行职能。</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lang w:val="en-US" w:eastAsia="zh-CN"/>
        </w:rPr>
      </w:pPr>
      <w:r>
        <w:rPr>
          <w:rFonts w:hint="eastAsia"/>
          <w:sz w:val="32"/>
          <w:szCs w:val="32"/>
          <w:lang w:val="en-US" w:eastAsia="zh-CN"/>
        </w:rPr>
        <w:t>三是定期开展深入村居走访及群众接访活动，做到密切联系群众，倾听民意。</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lang w:val="en-US" w:eastAsia="zh-CN"/>
        </w:rPr>
      </w:pPr>
      <w:r>
        <w:rPr>
          <w:rFonts w:hint="eastAsia"/>
          <w:sz w:val="32"/>
          <w:szCs w:val="32"/>
          <w:lang w:val="en-US" w:eastAsia="zh-CN"/>
        </w:rPr>
        <w:t>四是规范人大代表中心联络站。把人大代表联络站建设成为代表密切联系群众、践行基层民主的重要平台。</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lang w:val="en-US" w:eastAsia="zh-CN"/>
        </w:rPr>
      </w:pPr>
      <w:r>
        <w:rPr>
          <w:rFonts w:hint="eastAsia"/>
          <w:sz w:val="32"/>
          <w:szCs w:val="32"/>
          <w:lang w:val="en-US" w:eastAsia="zh-CN"/>
        </w:rPr>
        <w:t>b.政协工作经费</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lang w:val="en-US" w:eastAsia="zh-CN"/>
        </w:rPr>
      </w:pPr>
      <w:r>
        <w:rPr>
          <w:rFonts w:hint="eastAsia"/>
          <w:sz w:val="32"/>
          <w:szCs w:val="32"/>
          <w:lang w:val="en-US" w:eastAsia="zh-CN"/>
        </w:rPr>
        <w:t>一是保障政协委员参加两会，履行职能。</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lang w:val="en-US" w:eastAsia="zh-CN"/>
        </w:rPr>
      </w:pPr>
      <w:r>
        <w:rPr>
          <w:rFonts w:hint="eastAsia"/>
          <w:sz w:val="32"/>
          <w:szCs w:val="32"/>
          <w:lang w:val="en-US" w:eastAsia="zh-CN"/>
        </w:rPr>
        <w:t>二是组织政协委员开展视察调研活动，发挥建言献策的作用。自评得10分。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200"/>
        <w:textAlignment w:val="auto"/>
        <w:rPr>
          <w:rFonts w:hint="eastAsia"/>
          <w:sz w:val="32"/>
          <w:szCs w:val="32"/>
          <w:lang w:val="en-US" w:eastAsia="zh-CN"/>
        </w:rPr>
      </w:pPr>
      <w:r>
        <w:rPr>
          <w:rFonts w:hint="eastAsia"/>
          <w:sz w:val="32"/>
          <w:szCs w:val="32"/>
          <w:lang w:val="en-US" w:eastAsia="zh-CN"/>
        </w:rPr>
        <w:t>（4）公平性</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sz w:val="32"/>
          <w:szCs w:val="32"/>
          <w:lang w:val="en-US" w:eastAsia="zh-CN"/>
        </w:rPr>
      </w:pPr>
      <w:r>
        <w:rPr>
          <w:rFonts w:hint="eastAsia" w:ascii="微软雅黑" w:hAnsi="微软雅黑" w:eastAsia="微软雅黑" w:cs="微软雅黑"/>
          <w:sz w:val="32"/>
          <w:szCs w:val="32"/>
          <w:lang w:val="en-US" w:eastAsia="zh-CN"/>
        </w:rPr>
        <w:t>①</w:t>
      </w:r>
      <w:r>
        <w:rPr>
          <w:rFonts w:hint="eastAsia"/>
          <w:sz w:val="32"/>
          <w:szCs w:val="32"/>
          <w:lang w:val="en-US" w:eastAsia="zh-CN"/>
        </w:rPr>
        <w:t>群众信访办理情况，设置了便利的群众意见反映渠道和群众意见办理回复机制；当年度所有群众信访意见均有回复；回复意见均在规定时限内，自评得3分。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200" w:firstLine="320" w:firstLineChars="100"/>
        <w:textAlignment w:val="auto"/>
        <w:rPr>
          <w:rFonts w:hint="eastAsia"/>
          <w:sz w:val="32"/>
          <w:szCs w:val="32"/>
          <w:lang w:val="en-US" w:eastAsia="zh-CN"/>
        </w:rPr>
      </w:pPr>
      <w:r>
        <w:rPr>
          <w:rFonts w:hint="eastAsia" w:ascii="微软雅黑" w:hAnsi="微软雅黑" w:eastAsia="微软雅黑" w:cs="微软雅黑"/>
          <w:sz w:val="32"/>
          <w:szCs w:val="32"/>
          <w:lang w:val="en-US" w:eastAsia="zh-CN"/>
        </w:rPr>
        <w:t>②</w:t>
      </w:r>
      <w:r>
        <w:rPr>
          <w:rFonts w:hint="eastAsia"/>
          <w:sz w:val="32"/>
          <w:szCs w:val="32"/>
          <w:lang w:val="en-US" w:eastAsia="zh-CN"/>
        </w:rPr>
        <w:t>公众或服务对象满意度，组织人大代表、政协委员定期开展群众接访活动，做到密切联系群众，为群众提供保障。自评得4分。</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rPr>
          <w:rFonts w:hint="eastAsia"/>
          <w:sz w:val="32"/>
          <w:szCs w:val="32"/>
          <w:lang w:val="en-US" w:eastAsia="zh-CN"/>
        </w:rPr>
      </w:pPr>
      <w:r>
        <w:rPr>
          <w:rFonts w:hint="eastAsia"/>
          <w:sz w:val="32"/>
          <w:szCs w:val="32"/>
          <w:lang w:val="en-US" w:eastAsia="zh-CN"/>
        </w:rPr>
        <w:t xml:space="preserve">   （三）部门整体支出使用存在问题及改进意见</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default"/>
          <w:sz w:val="32"/>
          <w:szCs w:val="32"/>
          <w:lang w:val="en-US" w:eastAsia="zh-CN"/>
        </w:rPr>
      </w:pPr>
      <w:r>
        <w:rPr>
          <w:rFonts w:hint="eastAsia"/>
          <w:sz w:val="32"/>
          <w:szCs w:val="32"/>
          <w:lang w:val="en-US" w:eastAsia="zh-CN"/>
        </w:rPr>
        <w:t>部分项目未按计划时间完成，由于疫情影响，年度计划安排的外出学习考察活动（个别项目）不能安排。今后要进一步抓紧进度，按计划时间完成预算经费。</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rPr>
          <w:rFonts w:hint="default"/>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rPr>
          <w:rFonts w:hint="default"/>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rPr>
          <w:rFonts w:hint="default"/>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rPr>
          <w:rFonts w:hint="default"/>
          <w:sz w:val="32"/>
          <w:szCs w:val="32"/>
          <w:lang w:val="en-US" w:eastAsia="zh-CN"/>
        </w:rPr>
      </w:pPr>
    </w:p>
    <w:p>
      <w:pPr>
        <w:keepNext w:val="0"/>
        <w:keepLines w:val="0"/>
        <w:pageBreakBefore w:val="0"/>
        <w:widowControl w:val="0"/>
        <w:kinsoku/>
        <w:wordWrap/>
        <w:overflowPunct/>
        <w:topLinePunct w:val="0"/>
        <w:autoSpaceDE/>
        <w:autoSpaceDN/>
        <w:bidi w:val="0"/>
        <w:adjustRightInd/>
        <w:spacing w:line="560" w:lineRule="exact"/>
        <w:textAlignment w:val="auto"/>
      </w:pPr>
    </w:p>
    <w:sectPr>
      <w:footerReference r:id="rId3"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dobe 楷体 Std R">
    <w:altName w:val="宋体"/>
    <w:panose1 w:val="00000000000000000000"/>
    <w:charset w:val="86"/>
    <w:family w:val="roman"/>
    <w:pitch w:val="default"/>
    <w:sig w:usb0="00000000" w:usb1="00000000" w:usb2="00000010" w:usb3="00000000" w:csb0="00060007"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9499603"/>
    <w:multiLevelType w:val="singleLevel"/>
    <w:tmpl w:val="99499603"/>
    <w:lvl w:ilvl="0" w:tentative="0">
      <w:start w:val="1"/>
      <w:numFmt w:val="decimal"/>
      <w:suff w:val="nothing"/>
      <w:lvlText w:val="（%1）"/>
      <w:lvlJc w:val="left"/>
    </w:lvl>
  </w:abstractNum>
  <w:abstractNum w:abstractNumId="1">
    <w:nsid w:val="BFB38393"/>
    <w:multiLevelType w:val="singleLevel"/>
    <w:tmpl w:val="BFB38393"/>
    <w:lvl w:ilvl="0" w:tentative="0">
      <w:start w:val="2"/>
      <w:numFmt w:val="chineseCounting"/>
      <w:suff w:val="nothing"/>
      <w:lvlText w:val="（%1）"/>
      <w:lvlJc w:val="left"/>
      <w:rPr>
        <w:rFonts w:hint="eastAsia"/>
      </w:rPr>
    </w:lvl>
  </w:abstractNum>
  <w:abstractNum w:abstractNumId="2">
    <w:nsid w:val="07AC8E55"/>
    <w:multiLevelType w:val="singleLevel"/>
    <w:tmpl w:val="07AC8E55"/>
    <w:lvl w:ilvl="0" w:tentative="0">
      <w:start w:val="1"/>
      <w:numFmt w:val="decimal"/>
      <w:suff w:val="nothing"/>
      <w:lvlText w:val="（%1）"/>
      <w:lvlJc w:val="left"/>
      <w:pPr>
        <w:ind w:left="-10"/>
      </w:pPr>
    </w:lvl>
  </w:abstractNum>
  <w:abstractNum w:abstractNumId="3">
    <w:nsid w:val="08E67FB4"/>
    <w:multiLevelType w:val="singleLevel"/>
    <w:tmpl w:val="08E67FB4"/>
    <w:lvl w:ilvl="0" w:tentative="0">
      <w:start w:val="1"/>
      <w:numFmt w:val="decimal"/>
      <w:lvlText w:val="%1."/>
      <w:lvlJc w:val="left"/>
      <w:pPr>
        <w:tabs>
          <w:tab w:val="left" w:pos="312"/>
        </w:tabs>
      </w:pPr>
    </w:lvl>
  </w:abstractNum>
  <w:abstractNum w:abstractNumId="4">
    <w:nsid w:val="4920D910"/>
    <w:multiLevelType w:val="singleLevel"/>
    <w:tmpl w:val="4920D910"/>
    <w:lvl w:ilvl="0" w:tentative="0">
      <w:start w:val="2"/>
      <w:numFmt w:val="chineseCounting"/>
      <w:suff w:val="nothing"/>
      <w:lvlText w:val="（%1）"/>
      <w:lvlJc w:val="left"/>
      <w:rPr>
        <w:rFonts w:hint="eastAsia"/>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D928BB"/>
    <w:rsid w:val="025930CC"/>
    <w:rsid w:val="05B038F0"/>
    <w:rsid w:val="085609C0"/>
    <w:rsid w:val="0B73449E"/>
    <w:rsid w:val="0BAC6889"/>
    <w:rsid w:val="0C3F399B"/>
    <w:rsid w:val="0DE57863"/>
    <w:rsid w:val="0F7659B7"/>
    <w:rsid w:val="102B078D"/>
    <w:rsid w:val="10C9026F"/>
    <w:rsid w:val="111D0445"/>
    <w:rsid w:val="11C91A9C"/>
    <w:rsid w:val="145E17F8"/>
    <w:rsid w:val="14707345"/>
    <w:rsid w:val="15792D5A"/>
    <w:rsid w:val="161D7256"/>
    <w:rsid w:val="166A0292"/>
    <w:rsid w:val="18977CCB"/>
    <w:rsid w:val="19F966F4"/>
    <w:rsid w:val="1AE15633"/>
    <w:rsid w:val="1ED928BB"/>
    <w:rsid w:val="21B47493"/>
    <w:rsid w:val="22870F4A"/>
    <w:rsid w:val="22A01C80"/>
    <w:rsid w:val="24541974"/>
    <w:rsid w:val="24650DD6"/>
    <w:rsid w:val="28705726"/>
    <w:rsid w:val="29DD726B"/>
    <w:rsid w:val="2B1B7F1E"/>
    <w:rsid w:val="2BB463ED"/>
    <w:rsid w:val="2D6724CC"/>
    <w:rsid w:val="2DE00A86"/>
    <w:rsid w:val="2DEB197F"/>
    <w:rsid w:val="2F787D92"/>
    <w:rsid w:val="2F977275"/>
    <w:rsid w:val="30E11C2F"/>
    <w:rsid w:val="32856A7F"/>
    <w:rsid w:val="342C2C1C"/>
    <w:rsid w:val="34820442"/>
    <w:rsid w:val="35035D81"/>
    <w:rsid w:val="35F641D9"/>
    <w:rsid w:val="3ADF77FA"/>
    <w:rsid w:val="3C421799"/>
    <w:rsid w:val="3D78757D"/>
    <w:rsid w:val="3DB64C40"/>
    <w:rsid w:val="3EDC1F8A"/>
    <w:rsid w:val="41AC55AE"/>
    <w:rsid w:val="46552ED9"/>
    <w:rsid w:val="46AF624D"/>
    <w:rsid w:val="46C730CA"/>
    <w:rsid w:val="47C5616C"/>
    <w:rsid w:val="47D043EB"/>
    <w:rsid w:val="4A8C7C64"/>
    <w:rsid w:val="4BB07D64"/>
    <w:rsid w:val="5087760A"/>
    <w:rsid w:val="510D0BF3"/>
    <w:rsid w:val="55755A76"/>
    <w:rsid w:val="592B311B"/>
    <w:rsid w:val="5DA058B4"/>
    <w:rsid w:val="5FD96588"/>
    <w:rsid w:val="64193061"/>
    <w:rsid w:val="675F63C5"/>
    <w:rsid w:val="6CDC1230"/>
    <w:rsid w:val="6D321D16"/>
    <w:rsid w:val="6FF140C9"/>
    <w:rsid w:val="70DA78B5"/>
    <w:rsid w:val="75C833F4"/>
    <w:rsid w:val="78F95171"/>
    <w:rsid w:val="79AD6B83"/>
    <w:rsid w:val="79C20CC0"/>
    <w:rsid w:val="7A3023C2"/>
    <w:rsid w:val="7B0B7062"/>
    <w:rsid w:val="7B853DFF"/>
    <w:rsid w:val="7CC70968"/>
    <w:rsid w:val="7F4012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Calibri" w:eastAsia="仿宋_GB2312"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hAnsi="微软雅黑" w:eastAsia="微软雅黑" w:cs="微软雅黑"/>
      <w:kern w:val="0"/>
      <w:sz w:val="24"/>
      <w:lang w:val="en-US" w:eastAsia="zh-CN" w:bidi="ar"/>
    </w:rPr>
  </w:style>
  <w:style w:type="character" w:styleId="7">
    <w:name w:val="FollowedHyperlink"/>
    <w:basedOn w:val="6"/>
    <w:qFormat/>
    <w:uiPriority w:val="0"/>
    <w:rPr>
      <w:color w:val="333333"/>
      <w:u w:val="none"/>
    </w:rPr>
  </w:style>
  <w:style w:type="character" w:styleId="8">
    <w:name w:val="Emphasis"/>
    <w:basedOn w:val="6"/>
    <w:qFormat/>
    <w:uiPriority w:val="0"/>
    <w:rPr>
      <w:rFonts w:hint="default" w:ascii="微软雅黑" w:hAnsi="微软雅黑" w:eastAsia="微软雅黑" w:cs="微软雅黑"/>
    </w:rPr>
  </w:style>
  <w:style w:type="character" w:styleId="9">
    <w:name w:val="Hyperlink"/>
    <w:basedOn w:val="6"/>
    <w:qFormat/>
    <w:uiPriority w:val="0"/>
    <w:rPr>
      <w:color w:val="333333"/>
      <w:u w:val="none"/>
    </w:rPr>
  </w:style>
  <w:style w:type="character" w:customStyle="1" w:styleId="10">
    <w:name w:val="after"/>
    <w:basedOn w:val="6"/>
    <w:qFormat/>
    <w:uiPriority w:val="0"/>
    <w:rPr>
      <w:shd w:val="clear" w:fill="FFFFFF"/>
    </w:rPr>
  </w:style>
  <w:style w:type="character" w:customStyle="1" w:styleId="11">
    <w:name w:val="last"/>
    <w:basedOn w:val="6"/>
    <w:qFormat/>
    <w:uiPriority w:val="0"/>
  </w:style>
  <w:style w:type="character" w:customStyle="1" w:styleId="12">
    <w:name w:val="bsharetext"/>
    <w:basedOn w:val="6"/>
    <w:qFormat/>
    <w:uiPriority w:val="0"/>
  </w:style>
  <w:style w:type="character" w:customStyle="1" w:styleId="13">
    <w:name w:val="text"/>
    <w:basedOn w:val="6"/>
    <w:qFormat/>
    <w:uiPriority w:val="0"/>
    <w:rPr>
      <w:color w:val="66666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大亚湾区财政局</Company>
  <Pages>1</Pages>
  <Words>0</Words>
  <Characters>0</Characters>
  <Lines>0</Lines>
  <Paragraphs>0</Paragraphs>
  <TotalTime>3</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2020-05-11T01:55:00Z</dcterms:created>
  <dc:creator>Administrator</dc:creator>
  <cp:lastModifiedBy>Administrator</cp:lastModifiedBy>
  <dcterms:modified xsi:type="dcterms:W3CDTF">2022-05-27T04:57:46Z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