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80" w:firstLineChars="15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80" w:firstLineChars="15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创艺简标宋" w:hAnsi="创艺简标宋" w:eastAsia="创艺简标宋" w:cs="创艺简标宋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2020年</w:t>
      </w:r>
      <w:r>
        <w:rPr>
          <w:rFonts w:hint="eastAsia" w:ascii="创艺简标宋" w:hAnsi="创艺简标宋" w:eastAsia="创艺简标宋" w:cs="创艺简标宋"/>
          <w:sz w:val="44"/>
          <w:szCs w:val="44"/>
        </w:rPr>
        <w:t>大亚湾区部门整体支出绩效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sz w:val="44"/>
          <w:szCs w:val="44"/>
        </w:rPr>
        <w:t>自评报告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60" w:firstLineChars="15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44"/>
          <w:szCs w:val="44"/>
        </w:rPr>
        <w:t xml:space="preserve">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50" w:firstLineChars="150"/>
        <w:textAlignment w:val="auto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部门名称：（公章）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 xml:space="preserve">          填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报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人：</w:t>
      </w:r>
      <w:r>
        <w:rPr>
          <w:rFonts w:hint="eastAsia"/>
          <w:sz w:val="32"/>
          <w:szCs w:val="32"/>
          <w:lang w:eastAsia="zh-CN"/>
        </w:rPr>
        <w:t>苏惠林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 xml:space="preserve">          联系电话：</w:t>
      </w:r>
      <w:r>
        <w:rPr>
          <w:rFonts w:hint="eastAsia"/>
          <w:sz w:val="32"/>
          <w:szCs w:val="32"/>
          <w:lang w:val="en-US" w:eastAsia="zh-CN"/>
        </w:rPr>
        <w:t>5531266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 xml:space="preserve">          填报日期：</w:t>
      </w:r>
      <w:r>
        <w:rPr>
          <w:rFonts w:hint="eastAsia"/>
          <w:sz w:val="32"/>
          <w:szCs w:val="32"/>
          <w:lang w:val="en-US" w:eastAsia="zh-CN"/>
        </w:rPr>
        <w:t>2021年5月10日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一、部门基本情况</w:t>
      </w:r>
      <w:bookmarkStart w:id="15" w:name="_GoBack"/>
      <w:bookmarkEnd w:id="15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</w:rPr>
        <w:t>（一）机构设置及主要职责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</w:rPr>
        <w:t>本部门机构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  <w:lang w:eastAsia="zh-CN"/>
        </w:rPr>
        <w:t>设置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</w:rPr>
        <w:t>：大亚湾区市容环境卫生管理局成立于2009年8月，属正科级公益一类事业单位，为大亚湾区住房和规划建设局归口管理单位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  <w:highlight w:val="none"/>
        </w:rPr>
        <w:t>下设3个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正股级</w:t>
      </w:r>
      <w:r>
        <w:rPr>
          <w:rFonts w:hint="eastAsia" w:ascii="仿宋_GB2312" w:eastAsia="仿宋_GB2312"/>
          <w:sz w:val="32"/>
          <w:szCs w:val="32"/>
          <w:highlight w:val="none"/>
        </w:rPr>
        <w:t>内设机构，分别为办公室、业务股、设施股，增挂区爱卫办牌子。</w:t>
      </w:r>
      <w:r>
        <w:rPr>
          <w:rFonts w:hint="eastAsia"/>
          <w:sz w:val="32"/>
          <w:szCs w:val="32"/>
          <w:highlight w:val="none"/>
          <w:lang w:eastAsia="zh-CN"/>
        </w:rPr>
        <w:t>所属</w:t>
      </w:r>
      <w:r>
        <w:rPr>
          <w:rFonts w:hint="eastAsia" w:ascii="仿宋_GB2312" w:eastAsia="仿宋_GB2312"/>
          <w:sz w:val="32"/>
          <w:szCs w:val="32"/>
          <w:highlight w:val="none"/>
        </w:rPr>
        <w:t>澳头、西区、霞涌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highlight w:val="none"/>
        </w:rPr>
        <w:t>个环卫所</w:t>
      </w:r>
      <w:r>
        <w:rPr>
          <w:rFonts w:hint="eastAsia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highlight w:val="none"/>
        </w:rPr>
        <w:t>均为正股级公益一类事业单位</w:t>
      </w:r>
      <w:r>
        <w:rPr>
          <w:rFonts w:hint="eastAsia"/>
          <w:sz w:val="32"/>
          <w:szCs w:val="32"/>
          <w:highlight w:val="none"/>
          <w:lang w:eastAsia="zh-CN"/>
        </w:rPr>
        <w:t>。</w:t>
      </w:r>
    </w:p>
    <w:p>
      <w:pPr>
        <w:pageBreakBefore w:val="0"/>
        <w:tabs>
          <w:tab w:val="left" w:pos="1440"/>
        </w:tabs>
        <w:kinsoku/>
        <w:wordWrap/>
        <w:overflowPunct/>
        <w:topLinePunct w:val="0"/>
        <w:autoSpaceDE/>
        <w:autoSpaceDN/>
        <w:bidi w:val="0"/>
        <w:spacing w:line="560" w:lineRule="exact"/>
        <w:ind w:right="-2" w:firstLine="640" w:firstLineChars="200"/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</w:rPr>
        <w:t>主要职责是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负责大亚湾区城乡环境卫生管理和监管, 负责对全区实行环卫服务市场化运作的日常监督；负责环卫基础设施设备建设,负责全区农村环境卫生督导等，同时负责区内城乡垃圾收集、运输和无害化处理,负责道路保洁车辆、垃圾转运站（点）、果皮箱等环卫基础设施、设备的规划、建设、维护和管理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（二）部门预算单位及人员构成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大亚湾区环卫局部门预算来源为区财政全额拨款,实行</w:t>
      </w:r>
      <w:r>
        <w:rPr>
          <w:rFonts w:hint="eastAsia" w:hAnsi="仿宋_GB2312" w:cs="仿宋_GB2312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会计制度</w:t>
      </w:r>
      <w:r>
        <w:rPr>
          <w:rFonts w:hint="eastAsia" w:hAnsi="仿宋_GB2312" w:cs="仿宋_GB2312"/>
          <w:sz w:val="32"/>
          <w:szCs w:val="32"/>
          <w:lang w:eastAsia="zh-CN"/>
        </w:rPr>
        <w:t>，为一级预算单位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</w:rPr>
        <w:t>区环卫局及下属单位定编4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</w:rPr>
        <w:t>名，</w:t>
      </w:r>
      <w:r>
        <w:rPr>
          <w:rFonts w:hint="eastAsia" w:ascii="仿宋_GB2312" w:eastAsia="仿宋_GB2312"/>
          <w:sz w:val="32"/>
          <w:szCs w:val="32"/>
        </w:rPr>
        <w:t>其中局机关16名（含爱卫办2名），澳头环卫所1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名，西区环卫所9名，霞涌环卫所7名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</w:rPr>
        <w:t>20</w:t>
      </w:r>
      <w:r>
        <w:rPr>
          <w:rFonts w:hint="eastAsia" w:hAnsi="仿宋_GB2312" w:cs="仿宋_GB2312"/>
          <w:caps w:val="0"/>
          <w:color w:val="000000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</w:rPr>
        <w:t>年在职实有人数4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</w:rPr>
        <w:t>人，退休人员</w:t>
      </w:r>
      <w:r>
        <w:rPr>
          <w:rFonts w:hint="eastAsia" w:hAnsi="仿宋_GB2312" w:cs="仿宋_GB2312"/>
          <w:caps w:val="0"/>
          <w:color w:val="000000"/>
          <w:spacing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</w:rPr>
        <w:t>人</w:t>
      </w:r>
      <w:r>
        <w:rPr>
          <w:rFonts w:hint="eastAsia" w:hAnsi="仿宋_GB2312" w:cs="仿宋_GB2312"/>
          <w:caps w:val="0"/>
          <w:color w:val="000000"/>
          <w:spacing w:val="0"/>
          <w:sz w:val="32"/>
          <w:szCs w:val="32"/>
          <w:lang w:eastAsia="zh-CN"/>
        </w:rPr>
        <w:t>。另有</w:t>
      </w:r>
      <w:r>
        <w:rPr>
          <w:rFonts w:hint="eastAsia" w:ascii="仿宋_GB2312" w:eastAsia="仿宋_GB2312"/>
          <w:sz w:val="32"/>
          <w:szCs w:val="32"/>
          <w:lang w:eastAsia="zh-CN"/>
        </w:rPr>
        <w:t>享受参照在编人员工资待遇的原企业招工人员</w:t>
      </w:r>
      <w:r>
        <w:rPr>
          <w:rFonts w:hint="eastAsia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名（含退休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名）。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年，核定环卫合同制工人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（三）</w:t>
      </w:r>
      <w:r>
        <w:rPr>
          <w:rFonts w:hint="eastAsia" w:ascii="楷体_GB2312" w:hAnsi="楷体_GB2312" w:eastAsia="楷体_GB2312" w:cs="楷体_GB2312"/>
          <w:sz w:val="32"/>
          <w:szCs w:val="32"/>
        </w:rPr>
        <w:t>年度总体工作和重点工作任务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全面实施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垃圾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分类工作。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一是加大宣传教育工作力度。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加强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认真学习贯彻落实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习近平总书记关于垃圾分类工作的重要指示精神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以及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zh-CN" w:eastAsia="zh-CN"/>
        </w:rPr>
        <w:t>全省生活垃圾分类工作推进会精神的舆论宣传，利用平面媒体、有线电视、微信等平台，联合宣教、群团等部门，多渠道、全方位加强对垃圾分类的宣传，增强市民垃圾分类意识，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zh-CN"/>
        </w:rPr>
        <w:t>特别是要借助学校这个平台，开展好“小手拉大手”生活垃圾分类宣教活动，营造人人参与生活垃圾分类的良好氛围，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调动社会各方力量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推动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生活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垃圾分类成为全社会的共识共为和文明风尚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zh-CN" w:eastAsia="zh-CN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val="zh-CN" w:eastAsia="zh-CN"/>
        </w:rPr>
        <w:t>二是全面推进垃圾分类工作。在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市组织的2020年度全市县区垃圾分类工作评估中，我区垃圾分类工作均位于全市前列。至2020年底，我区已实现全区公共机构生活垃圾分类全覆盖，霞涌街道初步完成生活垃圾分类示范街道创建，“大分流小分类”垃圾分类体系初步建立，建成日处理能力70吨的厨余垃圾处置设施，建成启用大件垃圾和园林绿化垃圾处理设施，全区共配备生活垃圾分类收集车61辆，生活垃圾分类投放、分类收集、分类运输、分类处置体系基本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三是完善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环卫基础设施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设备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加强与惠阳区环卫部门协调沟通，加快推进两区共建共享的餐厨垃圾、淤泥、粪渣处理项目建设，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按共建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资金比例40%（大亚湾区）和60%（惠阳区）分担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比例接收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处理我区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餐厨垃圾、污泥、粪渣等废弃物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继续推进板樟岭公园垃圾转运站、大亚湾生活垃圾收集石化区东门站及中心北区垃圾中转站建设项目。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outlineLvl w:val="9"/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推进环卫服务市场化，妥善完成编外人员清理。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一是推进环卫服务市场化。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推动环卫一体化改革，最终实现城市保洁一家管、全覆盖。完成澳头中心南片区</w:t>
      </w:r>
      <w:r>
        <w:rPr>
          <w:rFonts w:hint="eastAsia" w:hAnsi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近岸海域、</w:t>
      </w:r>
      <w:r>
        <w:rPr>
          <w:rFonts w:hint="eastAsia" w:hAnsi="仿宋_GB2312" w:cs="仿宋_GB2312"/>
          <w:color w:val="000000"/>
          <w:sz w:val="32"/>
          <w:szCs w:val="32"/>
          <w:lang w:eastAsia="zh-CN"/>
        </w:rPr>
        <w:t>海岛渔村、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霞涌街道环卫服务市场化，</w:t>
      </w:r>
      <w:r>
        <w:rPr>
          <w:rFonts w:hint="eastAsia" w:hAnsi="仿宋_GB2312" w:cs="仿宋_GB2312"/>
          <w:color w:val="000000"/>
          <w:sz w:val="32"/>
          <w:szCs w:val="32"/>
          <w:lang w:eastAsia="zh-CN"/>
        </w:rPr>
        <w:t>全面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启动西区街道新一轮环卫服务市场化</w:t>
      </w:r>
      <w:r>
        <w:rPr>
          <w:rFonts w:hint="eastAsia" w:hAnsi="仿宋_GB2312" w:cs="仿宋_GB2312"/>
          <w:color w:val="000000"/>
          <w:sz w:val="32"/>
          <w:szCs w:val="32"/>
          <w:lang w:eastAsia="zh-CN"/>
        </w:rPr>
        <w:t>实施方案的制定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二是加快推进编外人员清理。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认真落实区清理编外人员推进会要求，</w:t>
      </w:r>
      <w:r>
        <w:rPr>
          <w:rFonts w:hint="eastAsia" w:hAnsi="仿宋_GB2312" w:cs="仿宋_GB2312"/>
          <w:color w:val="000000"/>
          <w:sz w:val="32"/>
          <w:szCs w:val="32"/>
          <w:lang w:eastAsia="zh-CN"/>
        </w:rPr>
        <w:t>稳妥完成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解除澳头中心南片区环卫工人劳动关系工作，落实解除环卫工人劳动关系补偿金</w:t>
      </w:r>
      <w:r>
        <w:rPr>
          <w:rFonts w:hint="eastAsia" w:hAnsi="仿宋_GB2312" w:cs="仿宋_GB2312"/>
          <w:color w:val="000000"/>
          <w:sz w:val="32"/>
          <w:szCs w:val="32"/>
          <w:lang w:eastAsia="zh-CN"/>
        </w:rPr>
        <w:t>发放，按时妥善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完成编外人员清理工作。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抓好人居环境整治工作。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一是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推进落实乡村振兴战略。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深入开展“美丽乡村·清洁先行”活动，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常态化开展“清洁家</w:t>
      </w:r>
      <w:r>
        <w:rPr>
          <w:rFonts w:hint="eastAsia" w:ascii="仿宋_GB2312" w:hAnsi="楷体_GB2312" w:eastAsia="仿宋_GB2312" w:cs="楷体_GB2312"/>
          <w:color w:val="000000"/>
          <w:sz w:val="32"/>
          <w:szCs w:val="32"/>
        </w:rPr>
        <w:t>园行动日”活动</w:t>
      </w:r>
      <w:r>
        <w:rPr>
          <w:rFonts w:hint="eastAsia" w:ascii="仿宋_GB2312" w:hAnsi="楷体_GB2312" w:eastAsia="仿宋_GB2312" w:cs="楷体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切实加强</w:t>
      </w: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>农村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生活垃圾管理工作的指导，确保</w:t>
      </w: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>农村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生活垃圾收集、收运全覆盖，</w:t>
      </w: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>城镇生活垃圾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无害化处理率</w:t>
      </w: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>保持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二是积极开展爱国卫生运动。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科学开展除害防病工作，加强登革热灭蚊防蚊防控工作;开展清积水、消除蚊媒孳生地场所、全面清理卫生死角、整治环境卫生等环境卫生清洁行动;按照属地原则和四方责任，联防联控，做好我区防控登革热等疾病工作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（四）</w:t>
      </w:r>
      <w:r>
        <w:rPr>
          <w:rFonts w:hint="eastAsia" w:ascii="楷体_GB2312" w:hAnsi="楷体_GB2312" w:eastAsia="楷体_GB2312" w:cs="楷体_GB2312"/>
          <w:sz w:val="32"/>
          <w:szCs w:val="32"/>
        </w:rPr>
        <w:t>整体支出绩效目标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2020年本部门收入预算17836</w:t>
      </w:r>
      <w:r>
        <w:rPr>
          <w:rFonts w:hint="eastAsia" w:hAnsi="仿宋_GB2312" w:cs="仿宋_GB2312"/>
          <w:sz w:val="32"/>
          <w:szCs w:val="32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元，比上年</w:t>
      </w:r>
      <w:bookmarkStart w:id="0" w:name="PO_part3A1IncAmount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1945万元，</w:t>
      </w:r>
      <w:bookmarkStart w:id="1" w:name="PO_part3A1IncPercent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增长12.2 </w:t>
      </w:r>
      <w:bookmarkEnd w:id="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%，主要原因是</w:t>
      </w:r>
      <w:bookmarkStart w:id="2" w:name="PO_part3A1IncReason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环卫职工人员、清扫保洁面积、垃圾收集转运和处理量</w:t>
      </w:r>
      <w:r>
        <w:rPr>
          <w:rFonts w:hint="eastAsia" w:hAnsi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增加和惠阳垃圾处理费、市场化外包项目、垃圾分类及政府采购增加等</w:t>
      </w:r>
      <w:bookmarkEnd w:id="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；支出预算17836万元，比上年</w:t>
      </w:r>
      <w:bookmarkStart w:id="3" w:name="PO_part3A1IncAmount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</w:t>
      </w:r>
      <w:bookmarkEnd w:id="3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1945万元，</w:t>
      </w:r>
      <w:bookmarkStart w:id="4" w:name="PO_part3A1IncPercent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增长12.2 </w:t>
      </w:r>
      <w:bookmarkEnd w:id="4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%，主要原因是</w:t>
      </w:r>
      <w:bookmarkStart w:id="5" w:name="PO_part3A1IncReason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环卫职工人员、清扫保洁面积、垃圾收集转运和处理量</w:t>
      </w:r>
      <w:r>
        <w:rPr>
          <w:rFonts w:hint="eastAsia" w:hAnsi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增加和惠阳垃圾处理费、市场化外包项目、垃圾分类及政府采购增加等</w:t>
      </w:r>
      <w:bookmarkEnd w:id="5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1.前期工作</w:t>
      </w:r>
      <w:r>
        <w:rPr>
          <w:rFonts w:hint="eastAsia" w:hAnsi="仿宋_GB2312" w:cs="仿宋_GB2312"/>
          <w:b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项目的开展之前做好大量的调查准备工作，熟悉并深入了解该项目的情况，项目的开展与运行都是严格按照相关的规章制度执行，具有合法性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2.实施过程</w:t>
      </w:r>
      <w:r>
        <w:rPr>
          <w:rFonts w:hint="eastAsia" w:hAnsi="仿宋_GB2312" w:cs="仿宋_GB2312"/>
          <w:b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项目的资金到位率为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100％，资金的及时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到位使该项目能够顺利实施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，并且我局严格按照财务制度实行资金支出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主管部门对项目的开展及实施的过程都是经过严格的审批，实时了解工作的开展情况及各项准备工作，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保证工作的顺利进行，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财务管理实现科学化、制度化、规范化。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3.完成情况</w:t>
      </w:r>
      <w:r>
        <w:rPr>
          <w:rFonts w:hint="eastAsia" w:hAnsi="仿宋_GB2312" w:cs="仿宋_GB2312"/>
          <w:b/>
          <w:bCs/>
          <w:color w:val="auto"/>
          <w:sz w:val="32"/>
          <w:szCs w:val="32"/>
          <w:lang w:val="en-US" w:eastAsia="zh-CN"/>
        </w:rPr>
        <w:t>。</w:t>
      </w:r>
      <w:r>
        <w:rPr>
          <w:rFonts w:hint="eastAsia" w:hAnsi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，我区市容环境卫生管理水平日益提升，环卫基础设施设备日益完善，市民环卫意识得到不断提高，城镇生活垃圾收集率达100%，无害化处理率达100%，村庄保洁覆盖率达100%，主次干道机扫率达85%以上，2/3建成区（西区、霞涌街道建成区）实现环卫服务市场化，垃圾分类“大分流”有序推进，城乡生活垃圾分类试点持续推进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  <w:lang w:eastAsia="zh-CN"/>
        </w:rPr>
        <w:t>（五）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部门整体支出情况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2020年度预算为21326.13万元，本年收入17835.67万元，剩余3490.46万元尚未使用。其中包含：环卫职工工资116.53万元（按实际人员数支付）；美丽乡村清洁先行保洁经费3.14万元；环卫设备维护经费14.4万元；爱卫经费26.94万元（跨年支付，存在时间差）；重大项目177.46万元（公开招标流程</w:t>
      </w:r>
      <w:r>
        <w:rPr>
          <w:rFonts w:hint="eastAsia" w:hAnsi="仿宋_GB2312" w:cs="仿宋_GB2312"/>
          <w:sz w:val="32"/>
          <w:szCs w:val="32"/>
          <w:lang w:val="en-US" w:eastAsia="zh-CN"/>
        </w:rPr>
        <w:t>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久，年底才中标）</w:t>
      </w:r>
      <w:r>
        <w:rPr>
          <w:rFonts w:hint="eastAsia" w:hAnsi="仿宋_GB2312" w:cs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突发公共卫生事件应急处理费261万元，基建款154.16万元，市场化经费1588.24万元，经常性公用经费92.74万元等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二、绩效自评情况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（一）自评结果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8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0"/>
          <w:kern w:val="0"/>
          <w:sz w:val="32"/>
          <w:szCs w:val="32"/>
        </w:rPr>
        <w:t>根据自评材料，项目总体执行情况较好</w:t>
      </w:r>
      <w:r>
        <w:rPr>
          <w:rFonts w:hint="eastAsia" w:ascii="仿宋_GB2312" w:hAnsi="仿宋_GB2312" w:eastAsia="仿宋_GB2312" w:cs="仿宋_GB2312"/>
          <w:sz w:val="32"/>
          <w:szCs w:val="32"/>
        </w:rPr>
        <w:t>，能按照制定的计划完成并通过验收，预期的绩效目标的也基本实现，无论是取得的经济效益还是社会效益都有显著成果，同时该项目的运行也是严格按照相关规章制度执行，资金到位及时，使用效率较高，不存在违法乱纪的问题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部门整体支出目标实现程度及使用绩效（对照绩效评价指标，逐项分析得扣分情况）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部门整体支出</w:t>
      </w:r>
      <w:r>
        <w:rPr>
          <w:rFonts w:hint="eastAsia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绩效评价为</w:t>
      </w:r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94分，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目标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的执行情况较为良好，能够按时支付资金，提高资金使用率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预算编制情况得分22分，其中：预算编制、分配符合本部门职责和区财政当年有关预算编制的原则要求，得11分；整体绩效目标与年度工作任务相符，比率≥80%，所设定的绩效指标清晰、细化、可量化，得17分。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预算执行情况得分41分，其中：预算执行的及时和均衡，结余结转率比率≤5%，政府采购预算是根据事业发展计划和行政任务编制的、并经过规定程序批准的年度政府采购计划，预算执行规范、事项支出合规，重大项目支出经过评估论证和必要决策程序，按照政府信息公开有关规定公开相关预决算信息，得23分；项目的设立及调整按规定履行报批程序，得5分；行政事业性国有资产年报和月报均能按时报送，资产账与财务账相符，得13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预算使用效益得分31分，其中：三公”经费和日常公用经费均比去年有所减少，得4分；完成了预算和区领导交办的重要事项工作，实现绩效目标，得13分；全面提升我区环境卫生质量和社会公众满意度，得14分。</w:t>
      </w:r>
    </w:p>
    <w:p>
      <w:pPr>
        <w:numPr>
          <w:ilvl w:val="0"/>
          <w:numId w:val="0"/>
        </w:numPr>
        <w:ind w:firstLine="640" w:firstLineChars="200"/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4.</w:t>
      </w:r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国有资产占有使用情况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截至</w:t>
      </w:r>
      <w:bookmarkStart w:id="6" w:name="PO_part3A5Year1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2020 </w:t>
      </w:r>
      <w:bookmarkEnd w:id="6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bookmarkStart w:id="7" w:name="PO_part3A5Month1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12 </w:t>
      </w:r>
      <w:bookmarkEnd w:id="7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bookmarkStart w:id="8" w:name="PO_part3A5Date1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31 </w:t>
      </w:r>
      <w:bookmarkEnd w:id="8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日，本部门固定资产金额</w:t>
      </w:r>
      <w:bookmarkStart w:id="9" w:name="PO_part3A5Amount1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4994.69 </w:t>
      </w:r>
      <w:bookmarkEnd w:id="9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万元，分布构成情况为：房屋</w:t>
      </w:r>
      <w:bookmarkStart w:id="10" w:name="PO_part3A5Sqace1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241.95 </w:t>
      </w:r>
      <w:bookmarkEnd w:id="10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平方米，车辆</w:t>
      </w:r>
      <w:bookmarkStart w:id="11" w:name="PO_part3A5Car2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75 </w:t>
      </w:r>
      <w:bookmarkEnd w:id="11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辆，</w:t>
      </w:r>
      <w:r>
        <w:rPr>
          <w:rFonts w:hint="eastAsia" w:hAnsi="仿宋_GB2312" w:cs="仿宋_GB2312"/>
          <w:color w:val="FF0000"/>
          <w:sz w:val="32"/>
          <w:szCs w:val="32"/>
          <w:lang w:val="en-US" w:eastAsia="zh-CN"/>
        </w:rPr>
        <w:t>单价在100万元以上的设备</w:t>
      </w:r>
      <w:bookmarkStart w:id="12" w:name="PO_part3A5Equipment1"/>
      <w:r>
        <w:rPr>
          <w:rFonts w:hint="eastAsia" w:hAnsi="仿宋_GB2312" w:cs="仿宋_GB2312"/>
          <w:color w:val="FF0000"/>
          <w:sz w:val="32"/>
          <w:szCs w:val="32"/>
          <w:lang w:val="en-US" w:eastAsia="zh-CN"/>
        </w:rPr>
        <w:t xml:space="preserve">0 </w:t>
      </w:r>
      <w:bookmarkEnd w:id="12"/>
      <w:r>
        <w:rPr>
          <w:rFonts w:hint="eastAsia" w:hAnsi="仿宋_GB2312" w:cs="仿宋_GB2312"/>
          <w:color w:val="FF0000"/>
          <w:sz w:val="32"/>
          <w:szCs w:val="32"/>
          <w:lang w:val="en-US" w:eastAsia="zh-CN"/>
        </w:rPr>
        <w:t>台等</w:t>
      </w:r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。本年度拟购置固定资产</w:t>
      </w:r>
      <w:bookmarkStart w:id="13" w:name="PO_part3A5Amount5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0 </w:t>
      </w:r>
      <w:bookmarkEnd w:id="13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万元，主要原因是</w:t>
      </w:r>
      <w:bookmarkStart w:id="14" w:name="PO_part3A5Detil1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无购置固定资产</w:t>
      </w:r>
      <w:bookmarkEnd w:id="14"/>
      <w:r>
        <w:rPr>
          <w:rFonts w:hint="eastAsia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（四）</w:t>
      </w:r>
      <w:r>
        <w:rPr>
          <w:rFonts w:hint="eastAsia" w:ascii="楷体_GB2312" w:hAnsi="楷体_GB2312" w:eastAsia="楷体_GB2312" w:cs="楷体_GB2312"/>
          <w:sz w:val="32"/>
          <w:szCs w:val="32"/>
        </w:rPr>
        <w:t>部门整体支出使用存在问题及改进意见</w:t>
      </w:r>
    </w:p>
    <w:p>
      <w:pPr>
        <w:spacing w:line="640" w:lineRule="exact"/>
        <w:ind w:firstLine="566" w:firstLineChars="17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项目的目标设置不够科学合理。项目总目标设置合理，但是没有设置阶段性目标（季度或月度目标），不利于项目的实施。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完善编制年度预算程序。每年初召开多次年度预算专题会议，召集局属单位部门，对照上年度预算项目，结合年初工作计划，一一列出预算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，务求做到预算精细，绩效突出。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年度预算支出时效。年度预算批复后，对照预算各项目，明确责任领导、责任股室、责任人，压实责任。建立主要领导亲自抓，分管领导具体抓，各股室齐抓共管，形成层层抓落实的良好局面。定时听取预算支出进度情况汇报，以区通报的序时进度为抓手，发现问题立即整改，有效同步推进工作任务与资金支付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加强内部控制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。加强财务管理，强化财务监督，增强法纪观念，遵守规章制度。为保证财务管理工作规范有序进行，20</w:t>
      </w:r>
      <w:r>
        <w:rPr>
          <w:rFonts w:hint="eastAsia" w:hAnsi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加强内部控制和监督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对各项资金的管理、经费收支审批等均作了明确规定，各项经费支出实行限额把关、一支笔审批制度。严格执行上级关于“一把手不直接分管财务”的规定，安排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副局长</w:t>
      </w:r>
      <w:r>
        <w:rPr>
          <w:rFonts w:hint="eastAsia" w:ascii="仿宋_GB2312" w:hAnsi="仿宋_GB2312" w:eastAsia="仿宋_GB2312" w:cs="仿宋_GB2312"/>
          <w:sz w:val="32"/>
          <w:szCs w:val="32"/>
        </w:rPr>
        <w:t>分管财务并一支笔签批财务单据。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加强跟踪督查。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做好项目实施的跟踪检查工作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定期地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三、其他自评情况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hAnsi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年自评中无其它情况</w:t>
      </w:r>
      <w:r>
        <w:rPr>
          <w:rFonts w:hint="eastAsia" w:hAnsi="仿宋_GB2312" w:cs="仿宋_GB2312"/>
          <w:sz w:val="32"/>
          <w:szCs w:val="32"/>
          <w:lang w:val="en-US"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CB662"/>
    <w:multiLevelType w:val="singleLevel"/>
    <w:tmpl w:val="3DACB66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928BB"/>
    <w:rsid w:val="04034F2E"/>
    <w:rsid w:val="04205130"/>
    <w:rsid w:val="05AC123B"/>
    <w:rsid w:val="0907636A"/>
    <w:rsid w:val="0C896A9F"/>
    <w:rsid w:val="0DE1635A"/>
    <w:rsid w:val="0F106527"/>
    <w:rsid w:val="10E77BEC"/>
    <w:rsid w:val="114D29C9"/>
    <w:rsid w:val="13615D75"/>
    <w:rsid w:val="14A460D3"/>
    <w:rsid w:val="17704D80"/>
    <w:rsid w:val="17DA3795"/>
    <w:rsid w:val="1866436A"/>
    <w:rsid w:val="1A5903A1"/>
    <w:rsid w:val="1A6A66FF"/>
    <w:rsid w:val="1C553258"/>
    <w:rsid w:val="1ED928BB"/>
    <w:rsid w:val="211C6077"/>
    <w:rsid w:val="212168E6"/>
    <w:rsid w:val="213E1729"/>
    <w:rsid w:val="22982D09"/>
    <w:rsid w:val="23CD0864"/>
    <w:rsid w:val="24B4700C"/>
    <w:rsid w:val="26BD33F8"/>
    <w:rsid w:val="26D36B62"/>
    <w:rsid w:val="277175BF"/>
    <w:rsid w:val="284122FB"/>
    <w:rsid w:val="29BA7B85"/>
    <w:rsid w:val="2ABD30E1"/>
    <w:rsid w:val="2AD65FF7"/>
    <w:rsid w:val="2D0E4BAA"/>
    <w:rsid w:val="2D3733F9"/>
    <w:rsid w:val="2DB15874"/>
    <w:rsid w:val="2DE27635"/>
    <w:rsid w:val="2E5B67DC"/>
    <w:rsid w:val="2F660321"/>
    <w:rsid w:val="30661E30"/>
    <w:rsid w:val="32B5173F"/>
    <w:rsid w:val="351B58D6"/>
    <w:rsid w:val="392C3072"/>
    <w:rsid w:val="3A185595"/>
    <w:rsid w:val="3B4B4B2C"/>
    <w:rsid w:val="41BB28D3"/>
    <w:rsid w:val="423B7ECC"/>
    <w:rsid w:val="4279141E"/>
    <w:rsid w:val="42944E3E"/>
    <w:rsid w:val="42984EFF"/>
    <w:rsid w:val="44363D9C"/>
    <w:rsid w:val="47933243"/>
    <w:rsid w:val="4A9B3950"/>
    <w:rsid w:val="4ADC196E"/>
    <w:rsid w:val="4B6258EC"/>
    <w:rsid w:val="4B8C5276"/>
    <w:rsid w:val="4DF027A9"/>
    <w:rsid w:val="4E2B11F4"/>
    <w:rsid w:val="4FD532DB"/>
    <w:rsid w:val="503361AC"/>
    <w:rsid w:val="50AD2327"/>
    <w:rsid w:val="512C3378"/>
    <w:rsid w:val="51486FD8"/>
    <w:rsid w:val="51943EE4"/>
    <w:rsid w:val="51A047FA"/>
    <w:rsid w:val="53265F84"/>
    <w:rsid w:val="53C17E02"/>
    <w:rsid w:val="54ED52AB"/>
    <w:rsid w:val="57362E9A"/>
    <w:rsid w:val="59182D93"/>
    <w:rsid w:val="5B94177A"/>
    <w:rsid w:val="5B956A71"/>
    <w:rsid w:val="5C1E4E68"/>
    <w:rsid w:val="5CD36550"/>
    <w:rsid w:val="5D051EFF"/>
    <w:rsid w:val="5F0423CD"/>
    <w:rsid w:val="5F504E6C"/>
    <w:rsid w:val="621F230A"/>
    <w:rsid w:val="62B17CB3"/>
    <w:rsid w:val="647A5EFB"/>
    <w:rsid w:val="662D17DB"/>
    <w:rsid w:val="67134B67"/>
    <w:rsid w:val="67760F4F"/>
    <w:rsid w:val="696F6FA6"/>
    <w:rsid w:val="6DBE096D"/>
    <w:rsid w:val="6DD3417F"/>
    <w:rsid w:val="70392495"/>
    <w:rsid w:val="7223166A"/>
    <w:rsid w:val="726C6411"/>
    <w:rsid w:val="753D4A69"/>
    <w:rsid w:val="77E536B2"/>
    <w:rsid w:val="78F15E03"/>
    <w:rsid w:val="7A534FC0"/>
    <w:rsid w:val="7E414606"/>
    <w:rsid w:val="7FA6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标题 3 New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仿宋_GB2312" w:eastAsia="仿宋_GB2312"/>
      <w:b/>
      <w:sz w:val="32"/>
    </w:rPr>
  </w:style>
  <w:style w:type="paragraph" w:customStyle="1" w:styleId="8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大亚湾区财政局</Company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2020-05-11T01:55:00Z</dcterms:created>
  <dc:creator>Administrator</dc:creator>
  <cp:lastModifiedBy>cwilu</cp:lastModifiedBy>
  <dcterms:modified xsi:type="dcterms:W3CDTF">2022-06-06T03:49:14Z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