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ascii="黑体" w:hAnsi="黑体" w:eastAsia="黑体" w:cs="黑体"/>
          <w:sz w:val="32"/>
          <w:szCs w:val="32"/>
        </w:rPr>
      </w:pPr>
      <w:r>
        <w:rPr>
          <w:rFonts w:hint="eastAsia" w:ascii="黑体" w:hAnsi="黑体" w:eastAsia="黑体" w:cs="黑体"/>
          <w:sz w:val="32"/>
          <w:szCs w:val="32"/>
        </w:rPr>
        <w:t>附件</w:t>
      </w:r>
    </w:p>
    <w:p>
      <w:pPr>
        <w:spacing w:line="540" w:lineRule="exact"/>
        <w:jc w:val="center"/>
        <w:rPr>
          <w:rFonts w:hint="eastAsia" w:ascii="方正小标宋简体" w:hAnsi="方正小标宋简体" w:eastAsia="方正小标宋简体" w:cs="方正小标宋简体"/>
          <w:sz w:val="44"/>
          <w:szCs w:val="44"/>
        </w:rPr>
      </w:pPr>
    </w:p>
    <w:p>
      <w:pPr>
        <w:spacing w:line="5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大亚湾开发区道路建设“三同步”工作机制</w:t>
      </w:r>
    </w:p>
    <w:p>
      <w:pPr>
        <w:spacing w:line="540" w:lineRule="exact"/>
        <w:ind w:firstLine="640" w:firstLineChars="200"/>
        <w:rPr>
          <w:rFonts w:hint="eastAsia" w:ascii="仿宋_GB2312" w:hAnsi="仿宋_GB2312" w:eastAsia="仿宋_GB2312" w:cs="仿宋_GB2312"/>
          <w:sz w:val="32"/>
          <w:szCs w:val="32"/>
        </w:rPr>
      </w:pPr>
      <w:bookmarkStart w:id="0" w:name="_GoBack"/>
      <w:bookmarkEnd w:id="0"/>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道路建设应当将道路交通基础设施纳入工程项目，一并立项、预算、设计、施工、验收。公安机关交通管理部门应当参与交通设施建设工程设计图纸会审、项目验收等工作。交通设施验收合格后，统一移交公安机关管理。具体如下：</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一、同步规划设计</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道路交通工程建设（含道路停车格、停车楼及停车场建设等）初步设计完成后，应当书面征求属地公安机关交通管理部门意见，公安机关交通管理部门应结合道路交通管理及时出具意见，设计单位要积极采纳并完善初步设计和施工图设计。</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（二）公安机关交通管理部门应当参与研究讨论，并确定道路交通基础设施工程方案。各建设部门要按照各自职责，严格新建、扩建、改建道路配套交通设施规划、设计方案的审查、论证和组织实施。</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（三）道路设计方案未经会议讨论通过的、没有道路交通基础设施设计或未经公安机关交通管理部门审核通过的，不得参与招标采购，财政部门不予投资评审、不予纳入预算。</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二、同步施工建设</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（一）道路交通基础设施的设置应当符合道路交通安全畅通的要求和国家标准，保持清晰、醒目、准确、完好，与道路工程建设同步实施。</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pacing w:val="-6"/>
          <w:sz w:val="32"/>
          <w:szCs w:val="32"/>
        </w:rPr>
        <w:t>建设单位调整、变更道路交通基础设施设计方案需经公安机关交通管理部门同意；施工建设阶段应当邀请公安机关交通管理部门参与指导；工程监理单位负责技术和质量的监督监</w:t>
      </w:r>
      <w:r>
        <w:rPr>
          <w:rFonts w:hint="eastAsia" w:ascii="仿宋_GB2312" w:hAnsi="仿宋_GB2312" w:eastAsia="仿宋_GB2312" w:cs="仿宋_GB2312"/>
          <w:sz w:val="32"/>
          <w:szCs w:val="32"/>
        </w:rPr>
        <w:t>理。</w:t>
      </w:r>
    </w:p>
    <w:p>
      <w:pPr>
        <w:spacing w:line="54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三、同步竣工验收</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建设单位在竣工通车前应组织专家或各方责任主体单位进行交通基础设施验收，并邀请交通运输、住房城乡建设、公安交通管理、道路接管单位等部门参加。城市道路建设项目应在交工阶段进行安全性评价，工程验收合格后，方可投入使用。</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道路建设单位应将建成并验收合格的道路交通基础设施移交相关职责部门管养。移交时，道路建设单位应出具项目：1.移交申请函；2.市政基础设施交接书；3.相关部门批准的立项、规划、用地前期审批资料；4.区住建局和其他部门备案资料；5.交通安全设施项目竣工图纸；6.验收合格证明；7.移交清单。接收单位应对有关资料进行查验，资料齐备的，及时接收并出具接收证明。</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道路建设单位未经公安机关交通管理部门同意擅自调整、变更道路交通基础设施设计方案或不按设计方案实施交通设施建设，财政部门应不予核拨建设资金；未经公安机关交通管理部门参与竣工验收的道路，财政部门不予竣工结算。</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D10D3F"/>
    <w:rsid w:val="7ED10D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2022-11-24T07:17:00Z</dcterms:created>
  <dc:creator>区政务公开办</dc:creator>
  <cp:lastModifiedBy>区政务公开办</cp:lastModifiedBy>
  <dcterms:modified xsi:type="dcterms:W3CDTF">2022-11-24T07:18:03Z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FC4CFBAFAC724324B2B6CA83DE76A9E9</vt:lpwstr>
  </property>
</Properties>
</file>