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eastAsia="zh-CN"/>
        </w:rPr>
      </w:pPr>
    </w:p>
    <w:p>
      <w:pPr>
        <w:keepNext w:val="0"/>
        <w:keepLines w:val="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黑体" w:hAnsi="黑体" w:eastAsia="黑体" w:cs="黑体"/>
          <w:sz w:val="32"/>
          <w:szCs w:val="32"/>
          <w:lang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1</w:t>
      </w:r>
    </w:p>
    <w:p>
      <w:pPr>
        <w:keepNext w:val="0"/>
        <w:keepLines w:val="0"/>
        <w:pageBreakBefore w:val="0"/>
        <w:widowControl w:val="0"/>
        <w:tabs>
          <w:tab w:val="left" w:pos="346"/>
          <w:tab w:val="center" w:pos="4892"/>
        </w:tabs>
        <w:kinsoku/>
        <w:wordWrap/>
        <w:overflowPunct/>
        <w:topLinePunct w:val="0"/>
        <w:autoSpaceDE/>
        <w:autoSpaceDN/>
        <w:bidi w:val="0"/>
        <w:adjustRightInd w:val="0"/>
        <w:snapToGrid w:val="0"/>
        <w:spacing w:line="560" w:lineRule="exact"/>
        <w:jc w:val="both"/>
        <w:textAlignment w:val="auto"/>
        <w:rPr>
          <w:rFonts w:hint="eastAsia" w:ascii="创艺简标宋" w:hAnsi="创艺简标宋" w:eastAsia="创艺简标宋" w:cs="创艺简标宋"/>
          <w:b w:val="0"/>
          <w:bCs/>
          <w:spacing w:val="-10"/>
          <w:sz w:val="44"/>
          <w:szCs w:val="44"/>
        </w:rPr>
      </w:pPr>
    </w:p>
    <w:p>
      <w:pPr>
        <w:keepNext w:val="0"/>
        <w:keepLines w:val="0"/>
        <w:pageBreakBefore w:val="0"/>
        <w:widowControl w:val="0"/>
        <w:tabs>
          <w:tab w:val="left" w:pos="346"/>
          <w:tab w:val="center" w:pos="4892"/>
        </w:tabs>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b w:val="0"/>
          <w:bCs/>
          <w:spacing w:val="-10"/>
          <w:sz w:val="44"/>
          <w:szCs w:val="44"/>
          <w:lang w:eastAsia="zh-CN"/>
        </w:rPr>
      </w:pPr>
      <w:r>
        <w:rPr>
          <w:rFonts w:hint="eastAsia" w:ascii="方正小标宋_GBK" w:hAnsi="方正小标宋_GBK" w:eastAsia="方正小标宋_GBK" w:cs="方正小标宋_GBK"/>
          <w:b w:val="0"/>
          <w:bCs/>
          <w:spacing w:val="-10"/>
          <w:sz w:val="44"/>
          <w:szCs w:val="44"/>
        </w:rPr>
        <w:t>大亚湾环卫局物业管理</w:t>
      </w:r>
      <w:r>
        <w:rPr>
          <w:rFonts w:hint="eastAsia" w:ascii="方正小标宋_GBK" w:hAnsi="方正小标宋_GBK" w:eastAsia="方正小标宋_GBK" w:cs="方正小标宋_GBK"/>
          <w:b w:val="0"/>
          <w:bCs/>
          <w:spacing w:val="-10"/>
          <w:sz w:val="44"/>
          <w:szCs w:val="44"/>
          <w:lang w:eastAsia="zh-CN"/>
        </w:rPr>
        <w:t>服务项目（</w:t>
      </w:r>
      <w:r>
        <w:rPr>
          <w:rFonts w:hint="eastAsia" w:ascii="方正小标宋_GBK" w:hAnsi="方正小标宋_GBK" w:eastAsia="方正小标宋_GBK" w:cs="方正小标宋_GBK"/>
          <w:b w:val="0"/>
          <w:bCs/>
          <w:spacing w:val="-10"/>
          <w:sz w:val="44"/>
          <w:szCs w:val="44"/>
          <w:lang w:val="en-US" w:eastAsia="zh-CN"/>
        </w:rPr>
        <w:t>2023—2024</w:t>
      </w:r>
      <w:r>
        <w:rPr>
          <w:rFonts w:hint="eastAsia" w:ascii="方正小标宋_GBK" w:hAnsi="方正小标宋_GBK" w:eastAsia="方正小标宋_GBK" w:cs="方正小标宋_GBK"/>
          <w:b w:val="0"/>
          <w:bCs/>
          <w:spacing w:val="-10"/>
          <w:sz w:val="44"/>
          <w:szCs w:val="44"/>
          <w:lang w:eastAsia="zh-CN"/>
        </w:rPr>
        <w:t>）</w:t>
      </w:r>
    </w:p>
    <w:p>
      <w:pPr>
        <w:keepNext w:val="0"/>
        <w:keepLines w:val="0"/>
        <w:pageBreakBefore w:val="0"/>
        <w:widowControl w:val="0"/>
        <w:tabs>
          <w:tab w:val="left" w:pos="346"/>
          <w:tab w:val="center" w:pos="4892"/>
        </w:tabs>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b/>
          <w:bCs w:val="0"/>
          <w:spacing w:val="-10"/>
          <w:sz w:val="44"/>
          <w:szCs w:val="44"/>
        </w:rPr>
      </w:pPr>
      <w:r>
        <w:rPr>
          <w:rFonts w:hint="eastAsia" w:ascii="方正小标宋_GBK" w:hAnsi="方正小标宋_GBK" w:eastAsia="方正小标宋_GBK" w:cs="方正小标宋_GBK"/>
          <w:b w:val="0"/>
          <w:bCs/>
          <w:spacing w:val="-10"/>
          <w:sz w:val="44"/>
          <w:szCs w:val="44"/>
        </w:rPr>
        <w:t>采购服务需求书</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eastAsia="仿宋" w:cs="仿宋" w:asciiTheme="minorEastAsia" w:hAnsiTheme="minorEastAsia"/>
          <w:bCs w:val="0"/>
          <w:spacing w:val="-10"/>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w:t>
      </w:r>
      <w:r>
        <w:rPr>
          <w:rFonts w:hint="eastAsia" w:ascii="黑体" w:hAnsi="黑体" w:eastAsia="黑体" w:cs="黑体"/>
          <w:sz w:val="32"/>
          <w:szCs w:val="32"/>
        </w:rPr>
        <w:t>物业概况</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大亚湾区环卫局办公区域及其</w:t>
      </w:r>
      <w:r>
        <w:rPr>
          <w:rFonts w:hint="eastAsia" w:ascii="仿宋_GB2312" w:hAnsi="仿宋_GB2312" w:eastAsia="仿宋_GB2312" w:cs="仿宋_GB2312"/>
          <w:sz w:val="32"/>
          <w:szCs w:val="32"/>
          <w:lang w:eastAsia="zh-CN"/>
        </w:rPr>
        <w:t>日常管理的</w:t>
      </w:r>
      <w:r>
        <w:rPr>
          <w:rFonts w:hint="eastAsia" w:ascii="仿宋_GB2312" w:hAnsi="仿宋_GB2312" w:eastAsia="仿宋_GB2312" w:cs="仿宋_GB2312"/>
          <w:sz w:val="32"/>
          <w:szCs w:val="32"/>
          <w:lang w:val="en-US" w:eastAsia="zh-CN"/>
        </w:rPr>
        <w:t>4座中转站（西南、虎头山、上杨、东门）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均独立办公。其中：大亚湾区环卫局办公大楼位于惠州市大亚湾区澳头中兴五路128号，占地面积约3000㎡，建筑面积近700㎡，共</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层。包含1个篮球场，3条行车道和39个停车位，道路、广场等（含停车位）面积：3000㎡；露天运动场面积：430㎡ 。</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服务期限</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合同期为一年，自合同签订之日起生效。</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w:t>
      </w:r>
      <w:r>
        <w:rPr>
          <w:rFonts w:hint="eastAsia" w:ascii="黑体" w:hAnsi="黑体" w:eastAsia="黑体" w:cs="黑体"/>
          <w:sz w:val="32"/>
          <w:szCs w:val="32"/>
        </w:rPr>
        <w:t>项目报价要求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）项目最高限价为人民币壹佰</w:t>
      </w:r>
      <w:r>
        <w:rPr>
          <w:rFonts w:hint="eastAsia" w:ascii="仿宋_GB2312" w:hAnsi="仿宋_GB2312" w:eastAsia="仿宋_GB2312" w:cs="仿宋_GB2312"/>
          <w:sz w:val="32"/>
          <w:szCs w:val="32"/>
          <w:lang w:eastAsia="zh-CN"/>
        </w:rPr>
        <w:t>玖</w:t>
      </w:r>
      <w:r>
        <w:rPr>
          <w:rFonts w:hint="eastAsia" w:ascii="仿宋_GB2312" w:hAnsi="仿宋_GB2312" w:eastAsia="仿宋_GB2312" w:cs="仿宋_GB2312"/>
          <w:sz w:val="32"/>
          <w:szCs w:val="32"/>
        </w:rPr>
        <w:t>拾</w:t>
      </w:r>
      <w:r>
        <w:rPr>
          <w:rFonts w:hint="eastAsia" w:ascii="仿宋_GB2312" w:hAnsi="仿宋_GB2312" w:eastAsia="仿宋_GB2312" w:cs="仿宋_GB2312"/>
          <w:sz w:val="32"/>
          <w:szCs w:val="32"/>
          <w:lang w:eastAsia="zh-CN"/>
        </w:rPr>
        <w:t>贰</w:t>
      </w:r>
      <w:r>
        <w:rPr>
          <w:rFonts w:hint="eastAsia" w:ascii="仿宋_GB2312" w:hAnsi="仿宋_GB2312" w:eastAsia="仿宋_GB2312" w:cs="仿宋_GB2312"/>
          <w:sz w:val="32"/>
          <w:szCs w:val="32"/>
        </w:rPr>
        <w:t>万元整（￥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92</w:t>
      </w:r>
      <w:r>
        <w:rPr>
          <w:rFonts w:hint="eastAsia" w:ascii="仿宋_GB2312" w:hAnsi="仿宋_GB2312" w:eastAsia="仿宋_GB2312" w:cs="仿宋_GB2312"/>
          <w:sz w:val="32"/>
          <w:szCs w:val="32"/>
        </w:rPr>
        <w:t>0,000.00 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）中标人必须承诺本次报价包括了与本次物业管理服务相关的全部费用，不另向采购人收费。</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本项目投标报价应包括：中标人派驻人员工资、福利、服装、通信工具、社保、医疗及完成该项目所需工具、一切税费等招标文件要求的所有费用。</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本项目由中标人承担招标文件对中标人要求的一切事宜及责任。</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中标人未经采购人批准，不得再以任何方式转包或分包。</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eastAsia="zh-CN"/>
        </w:rPr>
        <w:t>、</w:t>
      </w:r>
      <w:r>
        <w:rPr>
          <w:rFonts w:hint="eastAsia" w:ascii="黑体" w:hAnsi="黑体" w:eastAsia="黑体" w:cs="黑体"/>
          <w:sz w:val="32"/>
          <w:szCs w:val="32"/>
        </w:rPr>
        <w:t>项目服务要求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一</w:t>
      </w:r>
      <w:r>
        <w:rPr>
          <w:rFonts w:hint="eastAsia" w:ascii="仿宋_GB2312" w:hAnsi="仿宋_GB2312" w:eastAsia="仿宋_GB2312" w:cs="仿宋_GB2312"/>
          <w:b w:val="0"/>
          <w:bCs w:val="0"/>
          <w:sz w:val="32"/>
          <w:szCs w:val="32"/>
        </w:rPr>
        <w:t>）对</w:t>
      </w:r>
      <w:r>
        <w:rPr>
          <w:rFonts w:hint="eastAsia" w:ascii="仿宋_GB2312" w:hAnsi="仿宋_GB2312" w:eastAsia="仿宋_GB2312" w:cs="仿宋_GB2312"/>
          <w:b w:val="0"/>
          <w:bCs w:val="0"/>
          <w:sz w:val="32"/>
          <w:szCs w:val="32"/>
          <w:lang w:eastAsia="zh-CN"/>
        </w:rPr>
        <w:t>中标人</w:t>
      </w:r>
      <w:r>
        <w:rPr>
          <w:rFonts w:hint="eastAsia" w:ascii="仿宋_GB2312" w:hAnsi="仿宋_GB2312" w:eastAsia="仿宋_GB2312" w:cs="仿宋_GB2312"/>
          <w:b w:val="0"/>
          <w:bCs w:val="0"/>
          <w:sz w:val="32"/>
          <w:szCs w:val="32"/>
        </w:rPr>
        <w:t>的要求：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项目服务范围</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中标人将服务人员派遗至采购人处分别完成以下工作：主要内容涵盖大亚湾区环卫局</w:t>
      </w:r>
      <w:r>
        <w:rPr>
          <w:rFonts w:hint="eastAsia" w:ascii="仿宋_GB2312" w:hAnsi="仿宋_GB2312" w:eastAsia="仿宋_GB2312" w:cs="仿宋_GB2312"/>
          <w:sz w:val="32"/>
          <w:szCs w:val="32"/>
          <w:lang w:eastAsia="zh-CN"/>
        </w:rPr>
        <w:t>（含</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个中转站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安全保障、清洁卫生、水电等设备维护及全区环境卫生日常巡查、</w:t>
      </w:r>
      <w:r>
        <w:rPr>
          <w:rFonts w:hint="eastAsia" w:ascii="仿宋_GB2312" w:hAnsi="仿宋_GB2312" w:eastAsia="仿宋_GB2312" w:cs="仿宋_GB2312"/>
          <w:sz w:val="32"/>
          <w:szCs w:val="32"/>
          <w:lang w:eastAsia="zh-CN"/>
        </w:rPr>
        <w:t>垃圾分类工作开展情况督查及相关</w:t>
      </w:r>
      <w:r>
        <w:rPr>
          <w:rFonts w:hint="eastAsia" w:ascii="仿宋_GB2312" w:hAnsi="仿宋_GB2312" w:eastAsia="仿宋_GB2312" w:cs="仿宋_GB2312"/>
          <w:sz w:val="32"/>
          <w:szCs w:val="32"/>
        </w:rPr>
        <w:t>资料收集整理等方面。中标人对服务人员实行人事管理的同时,配合采购人监督检查服务人员的工作态度、工作质量和工作效率。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中标人责任。</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1）中标人不得随意更换派驻人员，如需更换，则必须征得采购人的同意，经试用符合要求方可更换。</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2）在中标人服务过程中，采购人有权实施监督检查。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3）在项目服务过程中，采购人有权对派驻人员进行岗位调配， 对不能胜任或不符合业务要求的派驻人员进行更换。</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中标人支付给外派员工的薪酬必须公开透明，每个月支付的所有薪酬费用(包括所购买的社保等福利)资料必须交用采购人审核。如发现所支付的薪金不符合标准或支付的薪金帐目有所保留，中标人将承担一切的法律责任或刑事责任。</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5）为确保招聘的派驻人员能胜任采购人的工作岗位， 派驻人员须经采购人审核确认后方能上岗。中标人与其签订劳动合同而承担的法律责任与采购人无关。</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采购人具有督促、监督中标人按有关劳动法规为派驻采购人的派驻人员办理劳动合同、社会保险、薪酬发放及个人所得税申报等权利。中标人应根据当地有关规定，缴纳派驻人员的社会保险等，若国家、省、市政府在缴交期间有新的政策规定，则按新规定进行调整。</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7）若中标人在签订合同并生效后30天内未能配齐符合采购人要求的人员，则视为中标人主动违约，采购人有权终止合同。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在服务期间，派驻人员因为调走、辞职或者被中标人辞退等原因导致人员不足的，而中标人在30天内未能及时补充符合项目要求的派驻人员时，则视为中标人主动违约，采购人有权终止合同，并有权拒绝支付本期项目服务费。</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）因中标人业务人员蓄意破坏设施、违反规程造成重大事故的。一经查实，则视为中标人严重违约，采购人有权终止合同，责令中标人赔偿损失，情节严重的依法追究其法律责任。</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）若中标人在服务某阶段时期内违反其服务承诺或本招标文件的要求三次或以上，则视为中标人违约，采购人有权拒绝支付本期项目服务费。</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)政府购买服务岗位实行用工服务，由中标人直接管理服务人员，实行中标人和</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双重管理；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)由中标人负责与服务人员签订劳动合同；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)由中标人负责按照有关政策规定,负责管理人事行政关系、人事档案事宜及相关人事档案材料的收集、鉴别和整理；办理服务人员的录用和解聘；</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)中标人根据</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审核后的工资报酬标准,负责发放服务人员薪资报酬含工资福利等,代扣代缴个人所得税,代扣代缴社保基金,并建立薪酬发放及社会保险台账制度；</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)由中标人负责各项社会保险的政策咨询、劳动政策咨询;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)由中标人负责处理服务人员的劳资纠纷;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)由中标人负责办理服务人员岗前培训、上岗资格培训、再教育培训</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)由中标人负责服务人员的</w:t>
      </w:r>
      <w:r>
        <w:rPr>
          <w:rFonts w:hint="eastAsia" w:ascii="仿宋_GB2312" w:hAnsi="仿宋_GB2312" w:eastAsia="仿宋_GB2312" w:cs="仿宋_GB2312"/>
          <w:sz w:val="32"/>
          <w:szCs w:val="32"/>
          <w:lang w:eastAsia="zh-CN"/>
        </w:rPr>
        <w:t>安全生产、</w:t>
      </w:r>
      <w:r>
        <w:rPr>
          <w:rFonts w:hint="eastAsia" w:ascii="仿宋_GB2312" w:hAnsi="仿宋_GB2312" w:eastAsia="仿宋_GB2312" w:cs="仿宋_GB2312"/>
          <w:color w:val="000000" w:themeColor="text1"/>
          <w:sz w:val="32"/>
          <w:szCs w:val="32"/>
          <w:lang w:eastAsia="zh-CN"/>
          <w14:textFill>
            <w14:solidFill>
              <w14:schemeClr w14:val="tx1"/>
            </w14:solidFill>
          </w14:textFill>
        </w:rPr>
        <w:t>疫情防控、</w:t>
      </w:r>
      <w:r>
        <w:rPr>
          <w:rFonts w:hint="eastAsia" w:ascii="仿宋_GB2312" w:hAnsi="仿宋_GB2312" w:eastAsia="仿宋_GB2312" w:cs="仿宋_GB2312"/>
          <w:color w:val="000000" w:themeColor="text1"/>
          <w:sz w:val="32"/>
          <w:szCs w:val="32"/>
          <w14:textFill>
            <w14:solidFill>
              <w14:schemeClr w14:val="tx1"/>
            </w14:solidFill>
          </w14:textFill>
        </w:rPr>
        <w:t>计划生育</w:t>
      </w:r>
      <w:r>
        <w:rPr>
          <w:rFonts w:hint="eastAsia" w:ascii="仿宋_GB2312" w:hAnsi="仿宋_GB2312" w:eastAsia="仿宋_GB2312" w:cs="仿宋_GB2312"/>
          <w:sz w:val="32"/>
          <w:szCs w:val="32"/>
        </w:rPr>
        <w:t>管理工作的相关事宜；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)中标人对符合工伤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医疗统筹报销规定范围内的医药费用,负责办理医药费报销手续</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对项目要求：</w:t>
      </w:r>
      <w:r>
        <w:rPr>
          <w:rFonts w:hint="eastAsia" w:ascii="仿宋_GB2312" w:hAnsi="仿宋_GB2312" w:eastAsia="仿宋_GB2312" w:cs="仿宋_GB2312"/>
          <w:sz w:val="32"/>
          <w:szCs w:val="32"/>
        </w:rPr>
        <w:t>①岗位职责及</w:t>
      </w:r>
      <w:r>
        <w:rPr>
          <w:rFonts w:hint="eastAsia" w:ascii="仿宋_GB2312" w:hAnsi="仿宋_GB2312" w:eastAsia="仿宋_GB2312" w:cs="仿宋_GB2312"/>
          <w:sz w:val="32"/>
          <w:szCs w:val="32"/>
          <w:lang w:eastAsia="zh-CN"/>
        </w:rPr>
        <w:t>派驻人员</w:t>
      </w:r>
      <w:r>
        <w:rPr>
          <w:rFonts w:hint="eastAsia" w:ascii="仿宋_GB2312" w:hAnsi="仿宋_GB2312" w:eastAsia="仿宋_GB2312" w:cs="仿宋_GB2312"/>
          <w:sz w:val="32"/>
          <w:szCs w:val="32"/>
        </w:rPr>
        <w:t>要求：</w:t>
      </w:r>
    </w:p>
    <w:tbl>
      <w:tblPr>
        <w:tblStyle w:val="15"/>
        <w:tblpPr w:leftFromText="180" w:rightFromText="180" w:vertAnchor="text" w:horzAnchor="page" w:tblpX="1439" w:tblpY="707"/>
        <w:tblOverlap w:val="never"/>
        <w:tblW w:w="9000"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85"/>
        <w:gridCol w:w="2910"/>
        <w:gridCol w:w="520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885" w:type="dxa"/>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楷体_GB2312" w:hAnsi="楷体_GB2312" w:eastAsia="楷体_GB2312" w:cs="楷体_GB2312"/>
                <w:bCs w:val="0"/>
                <w:snapToGrid w:val="0"/>
                <w:color w:val="000000"/>
                <w:kern w:val="0"/>
                <w:sz w:val="24"/>
                <w:szCs w:val="24"/>
              </w:rPr>
            </w:pPr>
            <w:r>
              <w:rPr>
                <w:rFonts w:hint="eastAsia" w:ascii="楷体_GB2312" w:hAnsi="楷体_GB2312" w:eastAsia="楷体_GB2312" w:cs="楷体_GB2312"/>
                <w:bCs w:val="0"/>
                <w:snapToGrid w:val="0"/>
                <w:color w:val="000000"/>
                <w:spacing w:val="-6"/>
                <w:kern w:val="0"/>
                <w:sz w:val="24"/>
                <w:szCs w:val="24"/>
                <w14:textOutline w14:w="3810" w14:cap="flat" w14:cmpd="sng" w14:algn="ctr">
                  <w14:solidFill>
                    <w14:srgbClr w14:val="000000"/>
                  </w14:solidFill>
                  <w14:prstDash w14:val="solid"/>
                  <w14:miter w14:val="0"/>
                </w14:textOutline>
              </w:rPr>
              <w:t>岗位</w:t>
            </w:r>
          </w:p>
        </w:tc>
        <w:tc>
          <w:tcPr>
            <w:tcW w:w="2910" w:type="dxa"/>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楷体_GB2312" w:hAnsi="楷体_GB2312" w:eastAsia="楷体_GB2312" w:cs="楷体_GB2312"/>
                <w:bCs w:val="0"/>
                <w:snapToGrid w:val="0"/>
                <w:color w:val="000000"/>
                <w:kern w:val="0"/>
                <w:sz w:val="24"/>
                <w:szCs w:val="24"/>
              </w:rPr>
            </w:pPr>
            <w:r>
              <w:rPr>
                <w:rFonts w:hint="eastAsia" w:ascii="楷体_GB2312" w:hAnsi="楷体_GB2312" w:eastAsia="楷体_GB2312" w:cs="楷体_GB2312"/>
                <w:bCs w:val="0"/>
                <w:snapToGrid w:val="0"/>
                <w:color w:val="000000"/>
                <w:spacing w:val="8"/>
                <w:kern w:val="0"/>
                <w:sz w:val="24"/>
                <w:szCs w:val="24"/>
                <w14:textOutline w14:w="3810" w14:cap="flat" w14:cmpd="sng" w14:algn="ctr">
                  <w14:solidFill>
                    <w14:srgbClr w14:val="000000"/>
                  </w14:solidFill>
                  <w14:prstDash w14:val="solid"/>
                  <w14:miter w14:val="0"/>
                </w14:textOutline>
              </w:rPr>
              <w:t>工作职责</w:t>
            </w:r>
          </w:p>
        </w:tc>
        <w:tc>
          <w:tcPr>
            <w:tcW w:w="5205" w:type="dxa"/>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楷体_GB2312" w:hAnsi="楷体_GB2312" w:eastAsia="楷体_GB2312" w:cs="楷体_GB2312"/>
                <w:bCs w:val="0"/>
                <w:snapToGrid w:val="0"/>
                <w:color w:val="000000"/>
                <w:kern w:val="0"/>
                <w:sz w:val="24"/>
                <w:szCs w:val="24"/>
              </w:rPr>
            </w:pPr>
            <w:r>
              <w:rPr>
                <w:rFonts w:hint="eastAsia" w:ascii="楷体_GB2312" w:hAnsi="楷体_GB2312" w:eastAsia="楷体_GB2312" w:cs="楷体_GB2312"/>
                <w:bCs w:val="0"/>
                <w:snapToGrid w:val="0"/>
                <w:color w:val="000000"/>
                <w:spacing w:val="9"/>
                <w:kern w:val="0"/>
                <w:sz w:val="24"/>
                <w:szCs w:val="24"/>
                <w14:textOutline w14:w="3810" w14:cap="flat" w14:cmpd="sng" w14:algn="ctr">
                  <w14:solidFill>
                    <w14:srgbClr w14:val="000000"/>
                  </w14:solidFill>
                  <w14:prstDash w14:val="solid"/>
                  <w14:miter w14:val="0"/>
                </w14:textOutline>
              </w:rPr>
              <w:t>其它要求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88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val="0"/>
                <w:snapToGrid w:val="0"/>
                <w:color w:val="000000"/>
                <w:spacing w:val="-2"/>
                <w:kern w:val="0"/>
                <w:sz w:val="24"/>
                <w:szCs w:val="24"/>
              </w:rPr>
            </w:pPr>
            <w:r>
              <w:rPr>
                <w:rFonts w:hint="eastAsia" w:ascii="仿宋_GB2312" w:hAnsi="仿宋_GB2312" w:eastAsia="仿宋_GB2312" w:cs="仿宋_GB2312"/>
                <w:bCs w:val="0"/>
                <w:snapToGrid w:val="0"/>
                <w:color w:val="000000"/>
                <w:spacing w:val="-2"/>
                <w:kern w:val="0"/>
                <w:sz w:val="24"/>
                <w:szCs w:val="24"/>
              </w:rPr>
              <w:t>项目负责人</w:t>
            </w:r>
          </w:p>
        </w:tc>
        <w:tc>
          <w:tcPr>
            <w:tcW w:w="2910"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spacing w:val="-2"/>
                <w:kern w:val="0"/>
                <w:sz w:val="24"/>
                <w:szCs w:val="24"/>
              </w:rPr>
            </w:pPr>
            <w:r>
              <w:rPr>
                <w:rFonts w:hint="eastAsia" w:ascii="仿宋_GB2312" w:hAnsi="仿宋_GB2312" w:eastAsia="仿宋_GB2312" w:cs="仿宋_GB2312"/>
                <w:bCs w:val="0"/>
                <w:snapToGrid w:val="0"/>
                <w:color w:val="000000"/>
                <w:spacing w:val="-2"/>
                <w:kern w:val="0"/>
                <w:sz w:val="24"/>
                <w:szCs w:val="24"/>
              </w:rPr>
              <w:t>负责全面管理工作</w:t>
            </w:r>
          </w:p>
        </w:tc>
        <w:tc>
          <w:tcPr>
            <w:tcW w:w="5205"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spacing w:val="-2"/>
                <w:kern w:val="0"/>
                <w:sz w:val="24"/>
                <w:szCs w:val="24"/>
                <w:lang w:eastAsia="zh-CN"/>
              </w:rPr>
            </w:pPr>
            <w:r>
              <w:rPr>
                <w:rFonts w:hint="eastAsia" w:ascii="仿宋_GB2312" w:hAnsi="仿宋_GB2312" w:eastAsia="仿宋_GB2312" w:cs="仿宋_GB2312"/>
                <w:bCs w:val="0"/>
                <w:snapToGrid w:val="0"/>
                <w:color w:val="000000"/>
                <w:spacing w:val="-2"/>
                <w:kern w:val="0"/>
                <w:sz w:val="24"/>
                <w:szCs w:val="24"/>
              </w:rPr>
              <w:t>有相关经验</w:t>
            </w:r>
            <w:r>
              <w:rPr>
                <w:rFonts w:hint="eastAsia" w:ascii="仿宋_GB2312" w:hAnsi="仿宋_GB2312" w:eastAsia="仿宋_GB2312" w:cs="仿宋_GB2312"/>
                <w:bCs w:val="0"/>
                <w:snapToGrid w:val="0"/>
                <w:color w:val="000000"/>
                <w:spacing w:val="-2"/>
                <w:kern w:val="0"/>
                <w:sz w:val="24"/>
                <w:szCs w:val="24"/>
                <w:lang w:eastAsia="zh-CN"/>
              </w:rPr>
              <w:t>（</w:t>
            </w:r>
            <w:r>
              <w:rPr>
                <w:rFonts w:hint="eastAsia" w:ascii="仿宋_GB2312" w:hAnsi="仿宋_GB2312" w:eastAsia="仿宋_GB2312" w:cs="仿宋_GB2312"/>
                <w:bCs w:val="0"/>
                <w:snapToGrid w:val="0"/>
                <w:color w:val="000000"/>
                <w:spacing w:val="-2"/>
                <w:kern w:val="0"/>
                <w:sz w:val="24"/>
                <w:szCs w:val="24"/>
                <w:lang w:val="en-US" w:eastAsia="zh-CN"/>
              </w:rPr>
              <w:t>1人</w:t>
            </w:r>
            <w:r>
              <w:rPr>
                <w:rFonts w:hint="eastAsia" w:ascii="仿宋_GB2312" w:hAnsi="仿宋_GB2312" w:eastAsia="仿宋_GB2312" w:cs="仿宋_GB2312"/>
                <w:bCs w:val="0"/>
                <w:snapToGrid w:val="0"/>
                <w:color w:val="000000"/>
                <w:spacing w:val="-2"/>
                <w:kern w:val="0"/>
                <w:sz w:val="24"/>
                <w:szCs w:val="24"/>
                <w:lang w:eastAsia="zh-CN"/>
              </w:rPr>
              <w:t>），不纳入本项目派驻人员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0" w:hRule="atLeast"/>
        </w:trPr>
        <w:tc>
          <w:tcPr>
            <w:tcW w:w="88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2"/>
                <w:kern w:val="0"/>
                <w:sz w:val="24"/>
                <w:szCs w:val="24"/>
              </w:rPr>
              <w:t>保安</w:t>
            </w:r>
            <w:r>
              <w:rPr>
                <w:rFonts w:hint="eastAsia" w:ascii="仿宋_GB2312" w:hAnsi="仿宋_GB2312" w:eastAsia="仿宋_GB2312" w:cs="仿宋_GB2312"/>
                <w:bCs w:val="0"/>
                <w:snapToGrid w:val="0"/>
                <w:color w:val="000000"/>
                <w:kern w:val="0"/>
                <w:sz w:val="24"/>
                <w:szCs w:val="24"/>
              </w:rPr>
              <w:t>员</w:t>
            </w:r>
          </w:p>
        </w:tc>
        <w:tc>
          <w:tcPr>
            <w:tcW w:w="2910"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6"/>
                <w:kern w:val="0"/>
                <w:sz w:val="24"/>
                <w:szCs w:val="24"/>
              </w:rPr>
              <w:t>负责西南、虎头山中转站场所的安保</w:t>
            </w:r>
            <w:r>
              <w:rPr>
                <w:rFonts w:hint="eastAsia" w:ascii="仿宋_GB2312" w:hAnsi="仿宋_GB2312" w:eastAsia="仿宋_GB2312" w:cs="仿宋_GB2312"/>
                <w:bCs w:val="0"/>
                <w:snapToGrid w:val="0"/>
                <w:color w:val="000000"/>
                <w:spacing w:val="-4"/>
                <w:kern w:val="0"/>
                <w:sz w:val="24"/>
                <w:szCs w:val="24"/>
              </w:rPr>
              <w:t>工作</w:t>
            </w:r>
          </w:p>
        </w:tc>
        <w:tc>
          <w:tcPr>
            <w:tcW w:w="5205"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lang w:eastAsia="zh-CN"/>
              </w:rPr>
            </w:pPr>
            <w:r>
              <w:rPr>
                <w:rFonts w:hint="eastAsia" w:ascii="仿宋_GB2312" w:hAnsi="仿宋_GB2312" w:eastAsia="仿宋_GB2312" w:cs="仿宋_GB2312"/>
                <w:bCs w:val="0"/>
                <w:snapToGrid w:val="0"/>
                <w:color w:val="000000"/>
                <w:spacing w:val="-1"/>
                <w:kern w:val="0"/>
                <w:sz w:val="24"/>
                <w:szCs w:val="24"/>
              </w:rPr>
              <w:t>有相关经验或退伍军人优先（不少于</w:t>
            </w:r>
            <w:r>
              <w:rPr>
                <w:rFonts w:hint="eastAsia" w:ascii="仿宋_GB2312" w:hAnsi="仿宋_GB2312" w:eastAsia="仿宋_GB2312" w:cs="仿宋_GB2312"/>
                <w:bCs w:val="0"/>
                <w:snapToGrid w:val="0"/>
                <w:color w:val="000000"/>
                <w:spacing w:val="-1"/>
                <w:kern w:val="0"/>
                <w:sz w:val="24"/>
                <w:szCs w:val="24"/>
                <w:lang w:val="en-US" w:eastAsia="zh-CN"/>
              </w:rPr>
              <w:t>4</w:t>
            </w:r>
            <w:r>
              <w:rPr>
                <w:rFonts w:hint="eastAsia" w:ascii="仿宋_GB2312" w:hAnsi="仿宋_GB2312" w:eastAsia="仿宋_GB2312" w:cs="仿宋_GB2312"/>
                <w:bCs w:val="0"/>
                <w:snapToGrid w:val="0"/>
                <w:color w:val="000000"/>
                <w:spacing w:val="-3"/>
                <w:kern w:val="0"/>
                <w:sz w:val="24"/>
                <w:szCs w:val="24"/>
              </w:rPr>
              <w:t>人）</w:t>
            </w:r>
            <w:r>
              <w:rPr>
                <w:rFonts w:hint="eastAsia" w:ascii="仿宋_GB2312" w:hAnsi="仿宋_GB2312" w:eastAsia="仿宋_GB2312" w:cs="仿宋_GB2312"/>
                <w:bCs w:val="0"/>
                <w:snapToGrid w:val="0"/>
                <w:color w:val="000000"/>
                <w:spacing w:val="-3"/>
                <w:kern w:val="0"/>
                <w:sz w:val="24"/>
                <w:szCs w:val="24"/>
                <w:lang w:eastAsia="zh-CN"/>
              </w:rPr>
              <w:t>，每月每人薪酬待遇不低于</w:t>
            </w:r>
            <w:r>
              <w:rPr>
                <w:rFonts w:hint="eastAsia" w:ascii="仿宋_GB2312" w:hAnsi="宋体" w:eastAsia="仿宋_GB2312"/>
                <w:b w:val="0"/>
                <w:bCs w:val="0"/>
                <w:snapToGrid w:val="0"/>
                <w:color w:val="000000"/>
                <w:sz w:val="22"/>
                <w:szCs w:val="22"/>
                <w:lang w:val="en-US" w:eastAsia="zh-CN"/>
              </w:rPr>
              <w:t>3750元。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0" w:hRule="atLeast"/>
        </w:trPr>
        <w:tc>
          <w:tcPr>
            <w:tcW w:w="88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5"/>
                <w:kern w:val="0"/>
                <w:sz w:val="24"/>
                <w:szCs w:val="24"/>
              </w:rPr>
              <w:t>驾驶</w:t>
            </w:r>
            <w:r>
              <w:rPr>
                <w:rFonts w:hint="eastAsia" w:ascii="仿宋_GB2312" w:hAnsi="仿宋_GB2312" w:eastAsia="仿宋_GB2312" w:cs="仿宋_GB2312"/>
                <w:bCs w:val="0"/>
                <w:snapToGrid w:val="0"/>
                <w:color w:val="000000"/>
                <w:kern w:val="0"/>
                <w:sz w:val="24"/>
                <w:szCs w:val="24"/>
              </w:rPr>
              <w:t>员</w:t>
            </w:r>
          </w:p>
        </w:tc>
        <w:tc>
          <w:tcPr>
            <w:tcW w:w="2910"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6"/>
                <w:kern w:val="0"/>
                <w:sz w:val="24"/>
                <w:szCs w:val="24"/>
              </w:rPr>
              <w:t>负责局用车派车管理和公车的正常维</w:t>
            </w:r>
            <w:r>
              <w:rPr>
                <w:rFonts w:hint="eastAsia" w:ascii="仿宋_GB2312" w:hAnsi="仿宋_GB2312" w:eastAsia="仿宋_GB2312" w:cs="仿宋_GB2312"/>
                <w:bCs w:val="0"/>
                <w:snapToGrid w:val="0"/>
                <w:color w:val="000000"/>
                <w:spacing w:val="-4"/>
                <w:kern w:val="0"/>
                <w:sz w:val="24"/>
                <w:szCs w:val="24"/>
              </w:rPr>
              <w:t>护工作</w:t>
            </w:r>
          </w:p>
        </w:tc>
        <w:tc>
          <w:tcPr>
            <w:tcW w:w="5205"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2"/>
                <w:kern w:val="0"/>
                <w:sz w:val="24"/>
                <w:szCs w:val="24"/>
              </w:rPr>
              <w:t>具有</w:t>
            </w:r>
            <w:r>
              <w:rPr>
                <w:rFonts w:hint="eastAsia" w:ascii="仿宋_GB2312" w:hAnsi="仿宋_GB2312" w:eastAsia="仿宋_GB2312" w:cs="仿宋_GB2312"/>
                <w:bCs w:val="0"/>
                <w:snapToGrid w:val="0"/>
                <w:color w:val="000000"/>
                <w:spacing w:val="-27"/>
                <w:kern w:val="0"/>
                <w:sz w:val="24"/>
                <w:szCs w:val="24"/>
              </w:rPr>
              <w:t xml:space="preserve"> </w:t>
            </w:r>
            <w:r>
              <w:rPr>
                <w:rFonts w:hint="eastAsia" w:ascii="仿宋_GB2312" w:hAnsi="仿宋_GB2312" w:eastAsia="仿宋_GB2312" w:cs="仿宋_GB2312"/>
                <w:bCs w:val="0"/>
                <w:snapToGrid w:val="0"/>
                <w:color w:val="000000"/>
                <w:spacing w:val="-2"/>
                <w:kern w:val="0"/>
                <w:sz w:val="24"/>
                <w:szCs w:val="24"/>
              </w:rPr>
              <w:t>C1</w:t>
            </w:r>
            <w:r>
              <w:rPr>
                <w:rFonts w:hint="eastAsia" w:ascii="仿宋_GB2312" w:hAnsi="仿宋_GB2312" w:eastAsia="仿宋_GB2312" w:cs="仿宋_GB2312"/>
                <w:bCs w:val="0"/>
                <w:snapToGrid w:val="0"/>
                <w:color w:val="000000"/>
                <w:spacing w:val="-37"/>
                <w:kern w:val="0"/>
                <w:sz w:val="24"/>
                <w:szCs w:val="24"/>
              </w:rPr>
              <w:t xml:space="preserve"> </w:t>
            </w:r>
            <w:r>
              <w:rPr>
                <w:rFonts w:hint="eastAsia" w:ascii="仿宋_GB2312" w:hAnsi="仿宋_GB2312" w:eastAsia="仿宋_GB2312" w:cs="仿宋_GB2312"/>
                <w:bCs w:val="0"/>
                <w:snapToGrid w:val="0"/>
                <w:color w:val="000000"/>
                <w:spacing w:val="-2"/>
                <w:kern w:val="0"/>
                <w:sz w:val="24"/>
                <w:szCs w:val="24"/>
              </w:rPr>
              <w:t>或以上驾驶证，男性，不少于</w:t>
            </w:r>
            <w:r>
              <w:rPr>
                <w:rFonts w:hint="eastAsia" w:ascii="仿宋_GB2312" w:hAnsi="仿宋_GB2312" w:eastAsia="仿宋_GB2312" w:cs="仿宋_GB2312"/>
                <w:bCs w:val="0"/>
                <w:snapToGrid w:val="0"/>
                <w:color w:val="000000"/>
                <w:spacing w:val="-21"/>
                <w:kern w:val="0"/>
                <w:sz w:val="24"/>
                <w:szCs w:val="24"/>
              </w:rPr>
              <w:t xml:space="preserve"> </w:t>
            </w:r>
            <w:r>
              <w:rPr>
                <w:rFonts w:hint="eastAsia" w:ascii="仿宋_GB2312" w:hAnsi="仿宋_GB2312" w:eastAsia="仿宋_GB2312" w:cs="仿宋_GB2312"/>
                <w:bCs w:val="0"/>
                <w:snapToGrid w:val="0"/>
                <w:color w:val="000000"/>
                <w:spacing w:val="-2"/>
                <w:kern w:val="0"/>
                <w:sz w:val="24"/>
                <w:szCs w:val="24"/>
              </w:rPr>
              <w:t>3</w:t>
            </w:r>
            <w:r>
              <w:rPr>
                <w:rFonts w:hint="eastAsia" w:ascii="仿宋_GB2312" w:hAnsi="仿宋_GB2312" w:eastAsia="仿宋_GB2312" w:cs="仿宋_GB2312"/>
                <w:bCs w:val="0"/>
                <w:snapToGrid w:val="0"/>
                <w:color w:val="000000"/>
                <w:spacing w:val="-7"/>
                <w:kern w:val="0"/>
                <w:sz w:val="24"/>
                <w:szCs w:val="24"/>
              </w:rPr>
              <w:t>年工作经验（不少于</w:t>
            </w:r>
            <w:r>
              <w:rPr>
                <w:rFonts w:hint="eastAsia" w:ascii="仿宋_GB2312" w:hAnsi="仿宋_GB2312" w:eastAsia="仿宋_GB2312" w:cs="仿宋_GB2312"/>
                <w:bCs w:val="0"/>
                <w:snapToGrid w:val="0"/>
                <w:color w:val="000000"/>
                <w:spacing w:val="-26"/>
                <w:kern w:val="0"/>
                <w:sz w:val="24"/>
                <w:szCs w:val="24"/>
              </w:rPr>
              <w:t xml:space="preserve"> </w:t>
            </w:r>
            <w:r>
              <w:rPr>
                <w:rFonts w:hint="eastAsia" w:ascii="仿宋_GB2312" w:hAnsi="仿宋_GB2312" w:eastAsia="仿宋_GB2312" w:cs="仿宋_GB2312"/>
                <w:bCs w:val="0"/>
                <w:snapToGrid w:val="0"/>
                <w:color w:val="000000"/>
                <w:spacing w:val="-7"/>
                <w:kern w:val="0"/>
                <w:sz w:val="24"/>
                <w:szCs w:val="24"/>
              </w:rPr>
              <w:t>4</w:t>
            </w:r>
            <w:r>
              <w:rPr>
                <w:rFonts w:hint="eastAsia" w:ascii="仿宋_GB2312" w:hAnsi="仿宋_GB2312" w:eastAsia="仿宋_GB2312" w:cs="仿宋_GB2312"/>
                <w:bCs w:val="0"/>
                <w:snapToGrid w:val="0"/>
                <w:color w:val="000000"/>
                <w:spacing w:val="-35"/>
                <w:kern w:val="0"/>
                <w:sz w:val="24"/>
                <w:szCs w:val="24"/>
              </w:rPr>
              <w:t xml:space="preserve"> </w:t>
            </w:r>
            <w:r>
              <w:rPr>
                <w:rFonts w:hint="eastAsia" w:ascii="仿宋_GB2312" w:hAnsi="仿宋_GB2312" w:eastAsia="仿宋_GB2312" w:cs="仿宋_GB2312"/>
                <w:bCs w:val="0"/>
                <w:snapToGrid w:val="0"/>
                <w:color w:val="000000"/>
                <w:spacing w:val="-7"/>
                <w:kern w:val="0"/>
                <w:sz w:val="24"/>
                <w:szCs w:val="24"/>
              </w:rPr>
              <w:t>人</w:t>
            </w:r>
            <w:r>
              <w:rPr>
                <w:rFonts w:hint="eastAsia" w:ascii="仿宋_GB2312" w:hAnsi="仿宋_GB2312" w:eastAsia="仿宋_GB2312" w:cs="仿宋_GB2312"/>
                <w:bCs w:val="0"/>
                <w:snapToGrid w:val="0"/>
                <w:color w:val="000000"/>
                <w:spacing w:val="-5"/>
                <w:kern w:val="0"/>
                <w:sz w:val="24"/>
                <w:szCs w:val="24"/>
              </w:rPr>
              <w:t>）</w:t>
            </w:r>
            <w:r>
              <w:rPr>
                <w:rFonts w:hint="eastAsia" w:ascii="仿宋_GB2312" w:hAnsi="仿宋_GB2312" w:eastAsia="仿宋_GB2312" w:cs="仿宋_GB2312"/>
                <w:bCs w:val="0"/>
                <w:snapToGrid w:val="0"/>
                <w:color w:val="000000"/>
                <w:spacing w:val="-5"/>
                <w:kern w:val="0"/>
                <w:sz w:val="24"/>
                <w:szCs w:val="24"/>
                <w:lang w:eastAsia="zh-CN"/>
              </w:rPr>
              <w:t>，</w:t>
            </w:r>
            <w:r>
              <w:rPr>
                <w:rFonts w:hint="eastAsia" w:ascii="仿宋_GB2312" w:hAnsi="仿宋_GB2312" w:eastAsia="仿宋_GB2312" w:cs="仿宋_GB2312"/>
                <w:bCs w:val="0"/>
                <w:snapToGrid w:val="0"/>
                <w:color w:val="000000"/>
                <w:spacing w:val="-3"/>
                <w:kern w:val="0"/>
                <w:sz w:val="24"/>
                <w:szCs w:val="24"/>
                <w:lang w:eastAsia="zh-CN"/>
              </w:rPr>
              <w:t>每月每人薪酬待遇不低于</w:t>
            </w:r>
            <w:r>
              <w:rPr>
                <w:rFonts w:hint="eastAsia" w:ascii="仿宋_GB2312" w:hAnsi="宋体" w:eastAsia="仿宋_GB2312"/>
                <w:snapToGrid w:val="0"/>
                <w:color w:val="000000"/>
                <w:sz w:val="22"/>
                <w:szCs w:val="28"/>
                <w:lang w:val="en-US" w:eastAsia="zh-CN"/>
              </w:rPr>
              <w:t>4964</w:t>
            </w:r>
            <w:r>
              <w:rPr>
                <w:rFonts w:hint="eastAsia" w:ascii="仿宋_GB2312" w:hAnsi="宋体" w:eastAsia="仿宋_GB2312"/>
                <w:b w:val="0"/>
                <w:bCs w:val="0"/>
                <w:snapToGrid w:val="0"/>
                <w:color w:val="000000"/>
                <w:sz w:val="22"/>
                <w:szCs w:val="22"/>
                <w:lang w:val="en-US" w:eastAsia="zh-CN"/>
              </w:rPr>
              <w:t>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0" w:hRule="atLeast"/>
        </w:trPr>
        <w:tc>
          <w:tcPr>
            <w:tcW w:w="88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2"/>
                <w:kern w:val="0"/>
                <w:sz w:val="24"/>
                <w:szCs w:val="24"/>
              </w:rPr>
              <w:t>保洁</w:t>
            </w:r>
            <w:r>
              <w:rPr>
                <w:rFonts w:hint="eastAsia" w:ascii="仿宋_GB2312" w:hAnsi="仿宋_GB2312" w:eastAsia="仿宋_GB2312" w:cs="仿宋_GB2312"/>
                <w:bCs w:val="0"/>
                <w:snapToGrid w:val="0"/>
                <w:color w:val="000000"/>
                <w:kern w:val="0"/>
                <w:sz w:val="24"/>
                <w:szCs w:val="24"/>
              </w:rPr>
              <w:t>员</w:t>
            </w:r>
          </w:p>
        </w:tc>
        <w:tc>
          <w:tcPr>
            <w:tcW w:w="2910"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1"/>
                <w:kern w:val="0"/>
                <w:sz w:val="24"/>
                <w:szCs w:val="24"/>
              </w:rPr>
              <w:t>负责局办公</w:t>
            </w:r>
            <w:r>
              <w:rPr>
                <w:rFonts w:hint="eastAsia" w:ascii="仿宋_GB2312" w:hAnsi="仿宋_GB2312" w:eastAsia="仿宋_GB2312" w:cs="仿宋_GB2312"/>
                <w:bCs w:val="0"/>
                <w:snapToGrid w:val="0"/>
                <w:color w:val="000000"/>
                <w:spacing w:val="-1"/>
                <w:kern w:val="0"/>
                <w:sz w:val="24"/>
                <w:szCs w:val="24"/>
                <w:lang w:eastAsia="zh-CN"/>
              </w:rPr>
              <w:t>场所及其公共区域</w:t>
            </w:r>
            <w:r>
              <w:rPr>
                <w:rFonts w:hint="eastAsia" w:ascii="仿宋_GB2312" w:hAnsi="仿宋_GB2312" w:eastAsia="仿宋_GB2312" w:cs="仿宋_GB2312"/>
                <w:bCs w:val="0"/>
                <w:snapToGrid w:val="0"/>
                <w:color w:val="000000"/>
                <w:spacing w:val="-1"/>
                <w:kern w:val="0"/>
                <w:sz w:val="24"/>
                <w:szCs w:val="24"/>
              </w:rPr>
              <w:t>卫生清洁工作</w:t>
            </w:r>
          </w:p>
        </w:tc>
        <w:tc>
          <w:tcPr>
            <w:tcW w:w="5205"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lang w:eastAsia="zh-CN"/>
              </w:rPr>
            </w:pPr>
            <w:r>
              <w:rPr>
                <w:rFonts w:hint="eastAsia" w:ascii="仿宋_GB2312" w:hAnsi="仿宋_GB2312" w:eastAsia="仿宋_GB2312" w:cs="仿宋_GB2312"/>
                <w:bCs w:val="0"/>
                <w:snapToGrid w:val="0"/>
                <w:color w:val="000000"/>
                <w:spacing w:val="-7"/>
                <w:kern w:val="0"/>
                <w:sz w:val="24"/>
                <w:szCs w:val="24"/>
              </w:rPr>
              <w:t>能吃苦耐劳，服从领导工作安排（不少于</w:t>
            </w:r>
            <w:r>
              <w:rPr>
                <w:rFonts w:hint="eastAsia" w:ascii="仿宋_GB2312" w:hAnsi="仿宋_GB2312" w:eastAsia="仿宋_GB2312" w:cs="仿宋_GB2312"/>
                <w:bCs w:val="0"/>
                <w:snapToGrid w:val="0"/>
                <w:color w:val="000000"/>
                <w:spacing w:val="-71"/>
                <w:kern w:val="0"/>
                <w:sz w:val="24"/>
                <w:szCs w:val="24"/>
                <w:lang w:val="en-US" w:eastAsia="zh-CN"/>
              </w:rPr>
              <w:t>4</w:t>
            </w:r>
            <w:r>
              <w:rPr>
                <w:rFonts w:hint="eastAsia" w:ascii="仿宋_GB2312" w:hAnsi="仿宋_GB2312" w:eastAsia="仿宋_GB2312" w:cs="仿宋_GB2312"/>
                <w:bCs w:val="0"/>
                <w:snapToGrid w:val="0"/>
                <w:color w:val="000000"/>
                <w:spacing w:val="-3"/>
                <w:kern w:val="0"/>
                <w:sz w:val="24"/>
                <w:szCs w:val="24"/>
              </w:rPr>
              <w:t>人）</w:t>
            </w:r>
            <w:r>
              <w:rPr>
                <w:rFonts w:hint="eastAsia" w:ascii="仿宋_GB2312" w:hAnsi="仿宋_GB2312" w:eastAsia="仿宋_GB2312" w:cs="仿宋_GB2312"/>
                <w:bCs w:val="0"/>
                <w:snapToGrid w:val="0"/>
                <w:color w:val="000000"/>
                <w:spacing w:val="-3"/>
                <w:kern w:val="0"/>
                <w:sz w:val="24"/>
                <w:szCs w:val="24"/>
                <w:lang w:eastAsia="zh-CN"/>
              </w:rPr>
              <w:t>，每月每人薪酬待遇不低于</w:t>
            </w:r>
            <w:r>
              <w:rPr>
                <w:rFonts w:hint="eastAsia" w:ascii="仿宋_GB2312" w:hAnsi="宋体" w:eastAsia="仿宋_GB2312"/>
                <w:snapToGrid w:val="0"/>
                <w:color w:val="000000"/>
                <w:sz w:val="22"/>
                <w:szCs w:val="28"/>
                <w:lang w:val="en-US" w:eastAsia="zh-CN"/>
              </w:rPr>
              <w:t>3250</w:t>
            </w:r>
            <w:r>
              <w:rPr>
                <w:rFonts w:hint="eastAsia" w:ascii="仿宋_GB2312" w:hAnsi="宋体" w:eastAsia="仿宋_GB2312"/>
                <w:b w:val="0"/>
                <w:bCs w:val="0"/>
                <w:snapToGrid w:val="0"/>
                <w:color w:val="000000"/>
                <w:sz w:val="22"/>
                <w:szCs w:val="22"/>
                <w:lang w:val="en-US" w:eastAsia="zh-CN"/>
              </w:rPr>
              <w:t>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5" w:hRule="atLeast"/>
        </w:trPr>
        <w:tc>
          <w:tcPr>
            <w:tcW w:w="88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2"/>
                <w:kern w:val="0"/>
                <w:sz w:val="24"/>
                <w:szCs w:val="24"/>
              </w:rPr>
              <w:t>水电</w:t>
            </w:r>
            <w:r>
              <w:rPr>
                <w:rFonts w:hint="eastAsia" w:ascii="仿宋_GB2312" w:hAnsi="仿宋_GB2312" w:eastAsia="仿宋_GB2312" w:cs="仿宋_GB2312"/>
                <w:bCs w:val="0"/>
                <w:snapToGrid w:val="0"/>
                <w:color w:val="000000"/>
                <w:kern w:val="0"/>
                <w:sz w:val="24"/>
                <w:szCs w:val="24"/>
              </w:rPr>
              <w:t>工</w:t>
            </w:r>
          </w:p>
        </w:tc>
        <w:tc>
          <w:tcPr>
            <w:tcW w:w="2910"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6"/>
                <w:kern w:val="0"/>
                <w:sz w:val="24"/>
                <w:szCs w:val="24"/>
              </w:rPr>
              <w:t>负责局办公场所</w:t>
            </w:r>
            <w:r>
              <w:rPr>
                <w:rFonts w:hint="eastAsia" w:ascii="仿宋_GB2312" w:hAnsi="仿宋_GB2312" w:eastAsia="仿宋_GB2312" w:cs="仿宋_GB2312"/>
                <w:bCs w:val="0"/>
                <w:snapToGrid w:val="0"/>
                <w:color w:val="000000"/>
                <w:spacing w:val="-6"/>
                <w:kern w:val="0"/>
                <w:sz w:val="24"/>
                <w:szCs w:val="24"/>
                <w:lang w:eastAsia="zh-CN"/>
              </w:rPr>
              <w:t>和中转站</w:t>
            </w:r>
            <w:r>
              <w:rPr>
                <w:rFonts w:hint="eastAsia" w:ascii="仿宋_GB2312" w:hAnsi="仿宋_GB2312" w:eastAsia="仿宋_GB2312" w:cs="仿宋_GB2312"/>
                <w:bCs w:val="0"/>
                <w:snapToGrid w:val="0"/>
                <w:color w:val="000000"/>
                <w:spacing w:val="-6"/>
                <w:kern w:val="0"/>
                <w:sz w:val="24"/>
                <w:szCs w:val="24"/>
              </w:rPr>
              <w:t>水电</w:t>
            </w:r>
            <w:r>
              <w:rPr>
                <w:rFonts w:hint="eastAsia" w:ascii="仿宋_GB2312" w:hAnsi="仿宋_GB2312" w:eastAsia="仿宋_GB2312" w:cs="仿宋_GB2312"/>
                <w:bCs w:val="0"/>
                <w:snapToGrid w:val="0"/>
                <w:color w:val="000000"/>
                <w:spacing w:val="-1"/>
                <w:kern w:val="0"/>
                <w:sz w:val="24"/>
                <w:szCs w:val="24"/>
              </w:rPr>
              <w:t>日常维护管理工作</w:t>
            </w:r>
          </w:p>
        </w:tc>
        <w:tc>
          <w:tcPr>
            <w:tcW w:w="5205"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lang w:eastAsia="zh-CN"/>
              </w:rPr>
            </w:pPr>
            <w:r>
              <w:rPr>
                <w:rFonts w:hint="eastAsia" w:ascii="仿宋_GB2312" w:hAnsi="仿宋_GB2312" w:eastAsia="仿宋_GB2312" w:cs="仿宋_GB2312"/>
                <w:bCs w:val="0"/>
                <w:snapToGrid w:val="0"/>
                <w:color w:val="000000"/>
                <w:spacing w:val="-5"/>
                <w:kern w:val="0"/>
                <w:sz w:val="24"/>
                <w:szCs w:val="24"/>
              </w:rPr>
              <w:t>具有水电检测维修相关证书，能够持证上</w:t>
            </w:r>
            <w:r>
              <w:rPr>
                <w:rFonts w:hint="eastAsia" w:ascii="仿宋_GB2312" w:hAnsi="仿宋_GB2312" w:eastAsia="仿宋_GB2312" w:cs="仿宋_GB2312"/>
                <w:bCs w:val="0"/>
                <w:snapToGrid w:val="0"/>
                <w:color w:val="000000"/>
                <w:spacing w:val="-10"/>
                <w:kern w:val="0"/>
                <w:sz w:val="24"/>
                <w:szCs w:val="24"/>
              </w:rPr>
              <w:t>岗（不少于</w:t>
            </w:r>
            <w:r>
              <w:rPr>
                <w:rFonts w:hint="eastAsia" w:ascii="仿宋_GB2312" w:hAnsi="仿宋_GB2312" w:eastAsia="仿宋_GB2312" w:cs="仿宋_GB2312"/>
                <w:bCs w:val="0"/>
                <w:snapToGrid w:val="0"/>
                <w:color w:val="000000"/>
                <w:spacing w:val="-24"/>
                <w:kern w:val="0"/>
                <w:sz w:val="24"/>
                <w:szCs w:val="24"/>
              </w:rPr>
              <w:t xml:space="preserve"> </w:t>
            </w:r>
            <w:r>
              <w:rPr>
                <w:rFonts w:hint="eastAsia" w:ascii="仿宋_GB2312" w:hAnsi="仿宋_GB2312" w:eastAsia="仿宋_GB2312" w:cs="仿宋_GB2312"/>
                <w:bCs w:val="0"/>
                <w:snapToGrid w:val="0"/>
                <w:color w:val="000000"/>
                <w:spacing w:val="-10"/>
                <w:kern w:val="0"/>
                <w:sz w:val="24"/>
                <w:szCs w:val="24"/>
              </w:rPr>
              <w:t>1</w:t>
            </w:r>
            <w:r>
              <w:rPr>
                <w:rFonts w:hint="eastAsia" w:ascii="仿宋_GB2312" w:hAnsi="仿宋_GB2312" w:eastAsia="仿宋_GB2312" w:cs="仿宋_GB2312"/>
                <w:bCs w:val="0"/>
                <w:snapToGrid w:val="0"/>
                <w:color w:val="000000"/>
                <w:spacing w:val="-36"/>
                <w:kern w:val="0"/>
                <w:sz w:val="24"/>
                <w:szCs w:val="24"/>
              </w:rPr>
              <w:t xml:space="preserve"> </w:t>
            </w:r>
            <w:r>
              <w:rPr>
                <w:rFonts w:hint="eastAsia" w:ascii="仿宋_GB2312" w:hAnsi="仿宋_GB2312" w:eastAsia="仿宋_GB2312" w:cs="仿宋_GB2312"/>
                <w:bCs w:val="0"/>
                <w:snapToGrid w:val="0"/>
                <w:color w:val="000000"/>
                <w:spacing w:val="-10"/>
                <w:kern w:val="0"/>
                <w:sz w:val="24"/>
                <w:szCs w:val="24"/>
              </w:rPr>
              <w:t>人</w:t>
            </w:r>
            <w:r>
              <w:rPr>
                <w:rFonts w:hint="eastAsia" w:ascii="仿宋_GB2312" w:hAnsi="仿宋_GB2312" w:eastAsia="仿宋_GB2312" w:cs="仿宋_GB2312"/>
                <w:bCs w:val="0"/>
                <w:snapToGrid w:val="0"/>
                <w:color w:val="000000"/>
                <w:spacing w:val="-3"/>
                <w:kern w:val="0"/>
                <w:sz w:val="24"/>
                <w:szCs w:val="24"/>
              </w:rPr>
              <w:t>）</w:t>
            </w:r>
            <w:r>
              <w:rPr>
                <w:rFonts w:hint="eastAsia" w:ascii="仿宋_GB2312" w:hAnsi="仿宋_GB2312" w:eastAsia="仿宋_GB2312" w:cs="仿宋_GB2312"/>
                <w:bCs w:val="0"/>
                <w:snapToGrid w:val="0"/>
                <w:color w:val="000000"/>
                <w:spacing w:val="-3"/>
                <w:kern w:val="0"/>
                <w:sz w:val="24"/>
                <w:szCs w:val="24"/>
                <w:lang w:eastAsia="zh-CN"/>
              </w:rPr>
              <w:t>，每月每人薪酬待遇不低于</w:t>
            </w:r>
            <w:r>
              <w:rPr>
                <w:rFonts w:hint="eastAsia" w:ascii="仿宋_GB2312" w:hAnsi="宋体" w:eastAsia="仿宋_GB2312"/>
                <w:snapToGrid w:val="0"/>
                <w:color w:val="000000"/>
                <w:sz w:val="22"/>
                <w:szCs w:val="28"/>
                <w:lang w:val="en-US" w:eastAsia="zh-CN"/>
              </w:rPr>
              <w:t>4361</w:t>
            </w:r>
            <w:r>
              <w:rPr>
                <w:rFonts w:hint="eastAsia" w:ascii="仿宋_GB2312" w:hAnsi="宋体" w:eastAsia="仿宋_GB2312"/>
                <w:b w:val="0"/>
                <w:bCs w:val="0"/>
                <w:snapToGrid w:val="0"/>
                <w:color w:val="000000"/>
                <w:sz w:val="22"/>
                <w:szCs w:val="22"/>
                <w:lang w:val="en-US" w:eastAsia="zh-CN"/>
              </w:rPr>
              <w:t>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0" w:hRule="atLeast"/>
        </w:trPr>
        <w:tc>
          <w:tcPr>
            <w:tcW w:w="885" w:type="dxa"/>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3"/>
                <w:kern w:val="0"/>
                <w:sz w:val="24"/>
                <w:szCs w:val="24"/>
              </w:rPr>
              <w:t>管理</w:t>
            </w:r>
            <w:r>
              <w:rPr>
                <w:rFonts w:hint="eastAsia" w:ascii="仿宋_GB2312" w:hAnsi="仿宋_GB2312" w:eastAsia="仿宋_GB2312" w:cs="仿宋_GB2312"/>
                <w:bCs w:val="0"/>
                <w:snapToGrid w:val="0"/>
                <w:color w:val="000000"/>
                <w:kern w:val="0"/>
                <w:sz w:val="24"/>
                <w:szCs w:val="24"/>
              </w:rPr>
              <w:t>员</w:t>
            </w:r>
          </w:p>
        </w:tc>
        <w:tc>
          <w:tcPr>
            <w:tcW w:w="2910"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5"/>
                <w:kern w:val="0"/>
                <w:sz w:val="24"/>
                <w:szCs w:val="24"/>
              </w:rPr>
              <w:t>负责各区域日常巡查、监督管理、资料收</w:t>
            </w:r>
            <w:r>
              <w:rPr>
                <w:rFonts w:hint="eastAsia" w:ascii="仿宋_GB2312" w:hAnsi="仿宋_GB2312" w:eastAsia="仿宋_GB2312" w:cs="仿宋_GB2312"/>
                <w:bCs w:val="0"/>
                <w:snapToGrid w:val="0"/>
                <w:color w:val="000000"/>
                <w:spacing w:val="-1"/>
                <w:kern w:val="0"/>
                <w:sz w:val="24"/>
                <w:szCs w:val="24"/>
              </w:rPr>
              <w:t>集汇总整理等辅助工作</w:t>
            </w:r>
          </w:p>
        </w:tc>
        <w:tc>
          <w:tcPr>
            <w:tcW w:w="5205" w:type="dxa"/>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Cs w:val="0"/>
                <w:snapToGrid w:val="0"/>
                <w:color w:val="000000"/>
                <w:kern w:val="0"/>
                <w:sz w:val="24"/>
                <w:szCs w:val="24"/>
                <w:lang w:eastAsia="zh-CN"/>
              </w:rPr>
            </w:pPr>
            <w:r>
              <w:rPr>
                <w:rFonts w:hint="eastAsia" w:ascii="仿宋_GB2312" w:hAnsi="仿宋_GB2312" w:eastAsia="仿宋_GB2312" w:cs="仿宋_GB2312"/>
                <w:bCs w:val="0"/>
                <w:snapToGrid w:val="0"/>
                <w:color w:val="000000"/>
                <w:spacing w:val="-2"/>
                <w:kern w:val="0"/>
                <w:sz w:val="24"/>
                <w:szCs w:val="24"/>
                <w:lang w:eastAsia="zh-CN"/>
              </w:rPr>
              <w:t>全日制</w:t>
            </w:r>
            <w:r>
              <w:rPr>
                <w:rFonts w:hint="eastAsia" w:ascii="仿宋_GB2312" w:hAnsi="仿宋_GB2312" w:eastAsia="仿宋_GB2312" w:cs="仿宋_GB2312"/>
                <w:bCs w:val="0"/>
                <w:snapToGrid w:val="0"/>
                <w:color w:val="000000"/>
                <w:spacing w:val="-2"/>
                <w:kern w:val="0"/>
                <w:sz w:val="24"/>
                <w:szCs w:val="24"/>
              </w:rPr>
              <w:t>大专或以上学历，40</w:t>
            </w:r>
            <w:r>
              <w:rPr>
                <w:rFonts w:hint="eastAsia" w:ascii="仿宋_GB2312" w:hAnsi="仿宋_GB2312" w:eastAsia="仿宋_GB2312" w:cs="仿宋_GB2312"/>
                <w:bCs w:val="0"/>
                <w:snapToGrid w:val="0"/>
                <w:color w:val="000000"/>
                <w:spacing w:val="-21"/>
                <w:kern w:val="0"/>
                <w:sz w:val="24"/>
                <w:szCs w:val="24"/>
              </w:rPr>
              <w:t xml:space="preserve"> </w:t>
            </w:r>
            <w:r>
              <w:rPr>
                <w:rFonts w:hint="eastAsia" w:ascii="仿宋_GB2312" w:hAnsi="仿宋_GB2312" w:eastAsia="仿宋_GB2312" w:cs="仿宋_GB2312"/>
                <w:bCs w:val="0"/>
                <w:snapToGrid w:val="0"/>
                <w:color w:val="000000"/>
                <w:spacing w:val="-2"/>
                <w:kern w:val="0"/>
                <w:sz w:val="24"/>
                <w:szCs w:val="24"/>
              </w:rPr>
              <w:t>岁以下，熟练办公</w:t>
            </w:r>
            <w:r>
              <w:rPr>
                <w:rFonts w:hint="eastAsia" w:ascii="仿宋_GB2312" w:hAnsi="仿宋_GB2312" w:eastAsia="仿宋_GB2312" w:cs="仿宋_GB2312"/>
                <w:bCs w:val="0"/>
                <w:snapToGrid w:val="0"/>
                <w:color w:val="000000"/>
                <w:spacing w:val="-6"/>
                <w:kern w:val="0"/>
                <w:sz w:val="24"/>
                <w:szCs w:val="24"/>
              </w:rPr>
              <w:t>软件操作，有环卫工作经验优先（不少于</w:t>
            </w:r>
            <w:r>
              <w:rPr>
                <w:rFonts w:hint="eastAsia" w:ascii="仿宋_GB2312" w:hAnsi="仿宋_GB2312" w:eastAsia="仿宋_GB2312" w:cs="仿宋_GB2312"/>
                <w:bCs w:val="0"/>
                <w:snapToGrid w:val="0"/>
                <w:color w:val="000000"/>
                <w:spacing w:val="-3"/>
                <w:kern w:val="0"/>
                <w:sz w:val="24"/>
                <w:szCs w:val="24"/>
                <w:lang w:val="en-US" w:eastAsia="zh-CN"/>
              </w:rPr>
              <w:t>12</w:t>
            </w:r>
            <w:r>
              <w:rPr>
                <w:rFonts w:hint="eastAsia" w:ascii="仿宋_GB2312" w:hAnsi="仿宋_GB2312" w:eastAsia="仿宋_GB2312" w:cs="仿宋_GB2312"/>
                <w:bCs w:val="0"/>
                <w:snapToGrid w:val="0"/>
                <w:color w:val="000000"/>
                <w:spacing w:val="-3"/>
                <w:kern w:val="0"/>
                <w:sz w:val="24"/>
                <w:szCs w:val="24"/>
              </w:rPr>
              <w:t>人）</w:t>
            </w:r>
            <w:r>
              <w:rPr>
                <w:rFonts w:hint="eastAsia" w:ascii="仿宋_GB2312" w:hAnsi="仿宋_GB2312" w:eastAsia="仿宋_GB2312" w:cs="仿宋_GB2312"/>
                <w:bCs w:val="0"/>
                <w:snapToGrid w:val="0"/>
                <w:color w:val="000000"/>
                <w:spacing w:val="-3"/>
                <w:kern w:val="0"/>
                <w:sz w:val="24"/>
                <w:szCs w:val="24"/>
                <w:lang w:eastAsia="zh-CN"/>
              </w:rPr>
              <w:t>，每月每人薪酬待遇不低于</w:t>
            </w:r>
            <w:r>
              <w:rPr>
                <w:rFonts w:hint="eastAsia" w:ascii="仿宋_GB2312" w:hAnsi="宋体" w:eastAsia="仿宋_GB2312"/>
                <w:snapToGrid w:val="0"/>
                <w:color w:val="auto"/>
                <w:sz w:val="22"/>
                <w:szCs w:val="28"/>
                <w:lang w:val="en-US" w:eastAsia="zh-CN"/>
              </w:rPr>
              <w:t>6512</w:t>
            </w:r>
            <w:r>
              <w:rPr>
                <w:rFonts w:hint="eastAsia" w:ascii="仿宋_GB2312" w:hAnsi="宋体" w:eastAsia="仿宋_GB2312"/>
                <w:b w:val="0"/>
                <w:bCs w:val="0"/>
                <w:snapToGrid w:val="0"/>
                <w:color w:val="000000"/>
                <w:sz w:val="22"/>
                <w:szCs w:val="22"/>
                <w:lang w:val="en-US" w:eastAsia="zh-CN"/>
              </w:rPr>
              <w:t>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0" w:hRule="atLeast"/>
        </w:trPr>
        <w:tc>
          <w:tcPr>
            <w:tcW w:w="885" w:type="dxa"/>
            <w:vAlign w:val="top"/>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val="0"/>
                <w:snapToGrid w:val="0"/>
                <w:color w:val="000000"/>
                <w:kern w:val="0"/>
                <w:sz w:val="24"/>
                <w:szCs w:val="24"/>
              </w:rPr>
            </w:pPr>
            <w:r>
              <w:rPr>
                <w:rFonts w:hint="eastAsia" w:ascii="仿宋_GB2312" w:hAnsi="仿宋_GB2312" w:eastAsia="仿宋_GB2312" w:cs="仿宋_GB2312"/>
                <w:bCs w:val="0"/>
                <w:snapToGrid w:val="0"/>
                <w:color w:val="000000"/>
                <w:spacing w:val="-3"/>
                <w:kern w:val="0"/>
                <w:sz w:val="24"/>
                <w:szCs w:val="24"/>
              </w:rPr>
              <w:t>合计</w:t>
            </w:r>
          </w:p>
        </w:tc>
        <w:tc>
          <w:tcPr>
            <w:tcW w:w="8115" w:type="dxa"/>
            <w:gridSpan w:val="2"/>
            <w:vAlign w:val="top"/>
          </w:tcPr>
          <w:p>
            <w:pPr>
              <w:keepNext w:val="0"/>
              <w:keepLines w:val="0"/>
              <w:pageBreakBefore w:val="0"/>
              <w:widowControl w:val="0"/>
              <w:tabs>
                <w:tab w:val="left" w:pos="678"/>
              </w:tabs>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Cs w:val="0"/>
                <w:snapToGrid w:val="0"/>
                <w:color w:val="000000"/>
                <w:kern w:val="0"/>
                <w:sz w:val="24"/>
                <w:szCs w:val="24"/>
                <w:lang w:eastAsia="zh-CN"/>
              </w:rPr>
            </w:pPr>
            <w:r>
              <w:rPr>
                <w:rFonts w:hint="eastAsia" w:ascii="仿宋_GB2312" w:hAnsi="仿宋_GB2312" w:eastAsia="仿宋_GB2312" w:cs="仿宋_GB2312"/>
                <w:bCs w:val="0"/>
                <w:snapToGrid w:val="0"/>
                <w:color w:val="000000"/>
                <w:spacing w:val="-4"/>
                <w:kern w:val="0"/>
                <w:sz w:val="24"/>
                <w:szCs w:val="24"/>
                <w:lang w:eastAsia="zh-CN"/>
              </w:rPr>
              <w:t>预算金额为</w:t>
            </w:r>
            <w:r>
              <w:rPr>
                <w:rFonts w:hint="eastAsia" w:ascii="仿宋_GB2312" w:hAnsi="仿宋_GB2312" w:eastAsia="仿宋_GB2312" w:cs="仿宋_GB2312"/>
                <w:bCs w:val="0"/>
                <w:snapToGrid w:val="0"/>
                <w:color w:val="000000"/>
                <w:spacing w:val="-4"/>
                <w:kern w:val="0"/>
                <w:sz w:val="24"/>
                <w:szCs w:val="24"/>
                <w:lang w:val="en-US" w:eastAsia="zh-CN"/>
              </w:rPr>
              <w:t>192万元</w:t>
            </w:r>
            <w:r>
              <w:rPr>
                <w:rFonts w:hint="eastAsia" w:ascii="仿宋_GB2312" w:hAnsi="仿宋_GB2312" w:eastAsia="仿宋_GB2312" w:cs="仿宋_GB2312"/>
                <w:bCs w:val="0"/>
                <w:snapToGrid w:val="0"/>
                <w:color w:val="000000"/>
                <w:spacing w:val="-4"/>
                <w:kern w:val="0"/>
                <w:sz w:val="24"/>
                <w:szCs w:val="24"/>
              </w:rPr>
              <w:t>（全包</w:t>
            </w:r>
            <w:r>
              <w:rPr>
                <w:rFonts w:hint="eastAsia" w:ascii="仿宋_GB2312" w:hAnsi="仿宋_GB2312" w:eastAsia="仿宋_GB2312" w:cs="仿宋_GB2312"/>
                <w:bCs w:val="0"/>
                <w:snapToGrid w:val="0"/>
                <w:color w:val="000000"/>
                <w:kern w:val="0"/>
                <w:sz w:val="24"/>
                <w:szCs w:val="24"/>
              </w:rPr>
              <w:t>），</w:t>
            </w:r>
            <w:r>
              <w:rPr>
                <w:rFonts w:hint="eastAsia" w:ascii="仿宋_GB2312" w:hAnsi="仿宋_GB2312" w:eastAsia="仿宋_GB2312" w:cs="仿宋_GB2312"/>
                <w:bCs w:val="0"/>
                <w:snapToGrid w:val="0"/>
                <w:color w:val="000000"/>
                <w:spacing w:val="-4"/>
                <w:kern w:val="0"/>
                <w:sz w:val="24"/>
                <w:szCs w:val="24"/>
              </w:rPr>
              <w:t>为保持服务的连续性及稳定性，该人员数量为最低要求，</w:t>
            </w:r>
            <w:r>
              <w:rPr>
                <w:rFonts w:hint="eastAsia" w:ascii="仿宋_GB2312" w:hAnsi="仿宋_GB2312" w:eastAsia="仿宋_GB2312" w:cs="仿宋_GB2312"/>
                <w:bCs w:val="0"/>
                <w:snapToGrid w:val="0"/>
                <w:color w:val="000000"/>
                <w:spacing w:val="-85"/>
                <w:kern w:val="0"/>
                <w:sz w:val="24"/>
                <w:szCs w:val="24"/>
              </w:rPr>
              <w:t xml:space="preserve"> </w:t>
            </w:r>
            <w:r>
              <w:rPr>
                <w:rFonts w:hint="eastAsia" w:ascii="仿宋_GB2312" w:hAnsi="仿宋_GB2312" w:eastAsia="仿宋_GB2312" w:cs="仿宋_GB2312"/>
                <w:bCs w:val="0"/>
                <w:snapToGrid w:val="0"/>
                <w:color w:val="000000"/>
                <w:spacing w:val="-1"/>
                <w:kern w:val="0"/>
                <w:sz w:val="24"/>
                <w:szCs w:val="24"/>
              </w:rPr>
              <w:t>具体人员由采购人根据实际工作需求在保持中标人合理利润前提下调配，且须考虑</w:t>
            </w:r>
            <w:r>
              <w:rPr>
                <w:rFonts w:hint="eastAsia" w:ascii="仿宋_GB2312" w:hAnsi="仿宋_GB2312" w:eastAsia="仿宋_GB2312" w:cs="仿宋_GB2312"/>
                <w:bCs w:val="0"/>
                <w:snapToGrid w:val="0"/>
                <w:color w:val="000000"/>
                <w:spacing w:val="-2"/>
                <w:kern w:val="0"/>
                <w:sz w:val="24"/>
                <w:szCs w:val="24"/>
              </w:rPr>
              <w:t>备用工作人员</w:t>
            </w:r>
            <w:r>
              <w:rPr>
                <w:rFonts w:hint="eastAsia" w:ascii="仿宋_GB2312" w:hAnsi="仿宋_GB2312" w:eastAsia="仿宋_GB2312" w:cs="仿宋_GB2312"/>
                <w:bCs w:val="0"/>
                <w:snapToGrid w:val="0"/>
                <w:color w:val="000000"/>
                <w:spacing w:val="-78"/>
                <w:kern w:val="0"/>
                <w:sz w:val="24"/>
                <w:szCs w:val="24"/>
              </w:rPr>
              <w:t xml:space="preserve"> </w:t>
            </w:r>
            <w:r>
              <w:rPr>
                <w:rFonts w:hint="eastAsia" w:ascii="仿宋_GB2312" w:hAnsi="仿宋_GB2312" w:eastAsia="仿宋_GB2312" w:cs="仿宋_GB2312"/>
                <w:bCs w:val="0"/>
                <w:snapToGrid w:val="0"/>
                <w:color w:val="000000"/>
                <w:spacing w:val="-2"/>
                <w:kern w:val="0"/>
                <w:sz w:val="24"/>
                <w:szCs w:val="24"/>
              </w:rPr>
              <w:t>。</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36"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bCs w:val="0"/>
          <w:spacing w:val="-1"/>
          <w:sz w:val="32"/>
          <w:szCs w:val="32"/>
        </w:rPr>
        <w:t>②工作时间：</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每人每周工作时间不多于40小时，因工作需要可要求工作人员加班，工作人员必须服从工作安排；若超出40小时的，采购人可对工作人员进行补休或者支付相应加班费。</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岗位资格</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①拥护中国共产党，坚持党的路线、方针、政策，遵守国家法律法规和各项规章制度；具有良好的思想品德，作风正派，无犯罪记录。</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②具有正常履行职责的身体条件和工作能力，工作责任感强，能吃苦耐劳，工作细致，承受压力，有良好的沟通能力和团队合作精神。</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服务要求</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标人提供的服务人员为全日制用工人员，并且严格按照《劳动法》和《劳动合同法》等有关规定办理完毕入职手续，服务人员的薪酬、福利待遇需按本需求书相关标准执行。中标人应按时足额支付服务人员的劳动报酬，并按照惠州市标准为其缴纳社会保险。</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①本项目委托管理的物业是办公重地，对安全性、保密性、 规范性要求严格，物业服务要求高标准。采购人对中标人组建的物业管理机构进行业务归口管理。</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中标人按采购人需求和场地实际情况，组建物业服务机构对该场地实施管理服务，制订该场地的物业服务方案，建立各项规章制度，确定组织架构、人员安排等，相关管理服务规章制度实施前需征得采购人同意。</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③采购人对一些重要岗位的设置、人员录用与管理，一些重要的管理决策有直接参与权与审批权，如认为有必要可查阅中标人有关本项目的财务状况。</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④在处理特殊事件和紧急、突发事故时，采购人对中标人服务人员有直接指挥权。</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⑤中标人对所录用人员要严格政审，保证录用人员没有劳动教养和刑事犯罪记录、有上岗资格证（物管证、保安证等）。中标人要依法纳税，要按规定为录用人员缴纳社会保险。</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⑥中标人在做好工作的同时，有责任向采购人提供合理化建议，以提高管理效率和管理质量。</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⑦中标人组建的管理机构至少配置1名管理负责人，对本项 目的服务实施综合管理，同时做好与采购人的沟通工作。</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⑧中标人须承诺对采购人原有的临聘人员在同等条件下，优先聘用。</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物业管理服务合同要求</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①应涵盖（包括）采购人提出的所有要求及具体报价内容。</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②中标人员工工作质量未能达到本项目合同的要求或有关标准，采购人可以随时要求中标人员工重新返工。</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③中标人对采购人提出的中标人力所能及的临时性的工作事项（临时性的搬运工作）应明确处理办法。</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④中标人员工不遵守采购人有关规定，导致采购人存在安全隐患，采购人有权要求中标人更换人员。</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⑤任何一方违反合同约定，给对方造成损失或产生不良影响时应依法予以赔偿，非违约方可随时解除双方的合同关系。</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⑥中标人应妥善保管、合理使用（管理使用不当造成损坏，应赔偿）采购人移交的一切物品（含办公值班台椅、物业图纸复印件、钥匙、门禁卡、以及其它采购人以物业管理费之外的费用购买的交付给中标人管理或使用的各类用具用品）。在合同解除后应将上述物品、物业用房和管理的全部档案资料一齐移交给采购人。</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⑦在本项目合同终止时，中标人应尽量配合做好本项目的所有交接工作，保证交接的顺利完成，不影响采购人的正常运营。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管理服务用房和管理服务费用要求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sz w:val="32"/>
          <w:szCs w:val="32"/>
        </w:rPr>
        <w:t>因中标人管理工作的需要而产生的各种信息通讯费用由中标人负责支付；为了维护采购人的利益,在紧急情况下使用采购人的设备或用品而产生的各种通讯费用，由采购人支付，但中标人应做详细登记，便于统计、核查。</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采购人只提供必需的安全保卫值班用房、物料仓储地点以及办公场所（具体面积和地点以实地考察为准）,不提供其它用房用地。</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采购人只提供本物业管理服务工作过程中所产生的必要的直接的耗费，如电费、水费、煤气费等和值班人员在值班期间内如保安、水电工等技术人员晚上值班需要冲凉时产生的用水用电费用。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sz w:val="32"/>
          <w:szCs w:val="32"/>
        </w:rPr>
        <w:t>采购人不提供涉及中标人物业管理服务工作的一切办公费用和其所属员工的工资（物业管理服务人工费）及生活费用（含中标人在物业管理过程中产生的办公费用及中标人工作人员的房租费用、其他个人生活用水、用电、用气</w:t>
      </w:r>
      <w:r>
        <w:rPr>
          <w:rFonts w:hint="eastAsia" w:ascii="仿宋_GB2312" w:hAnsi="仿宋_GB2312" w:eastAsia="仿宋_GB2312" w:cs="仿宋_GB2312"/>
          <w:sz w:val="32"/>
          <w:szCs w:val="32"/>
          <w:lang w:eastAsia="zh-CN"/>
        </w:rPr>
        <w:t>等费用</w:t>
      </w:r>
      <w:r>
        <w:rPr>
          <w:rFonts w:hint="eastAsia" w:ascii="仿宋_GB2312" w:hAnsi="仿宋_GB2312" w:eastAsia="仿宋_GB2312" w:cs="仿宋_GB2312"/>
          <w:sz w:val="32"/>
          <w:szCs w:val="32"/>
        </w:rPr>
        <w:t>，以及非物业管理工作必要的其他费用由中标人自行负担），上述费用由中标人承担（属于物业管理成本费用）。</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根据现行法规对中标人或其雇员征收的与本项目合同有关的一切税费均应由中标人负担。根据现行法规对采购人征收的与本项目合同有关的一切税费均应由采购人负担。</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根据物业管理工作的需要，采购人负责提供在物业内物业管理服务工作过程中必备的常用办公设备、工具、劳保用品等。</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采购人负责提供物业管理工作过程中所使用的某些卫生消耗物品（接待物品）。这些卫生消耗物品（接待物品）仅指采购人</w:t>
      </w:r>
      <w:r>
        <w:rPr>
          <w:rFonts w:hint="eastAsia" w:ascii="仿宋_GB2312" w:hAnsi="仿宋_GB2312" w:eastAsia="仿宋_GB2312" w:cs="仿宋_GB2312"/>
          <w:sz w:val="32"/>
          <w:szCs w:val="32"/>
          <w:lang w:eastAsia="zh-CN"/>
        </w:rPr>
        <w:t>因开展工作</w:t>
      </w:r>
      <w:r>
        <w:rPr>
          <w:rFonts w:hint="eastAsia" w:ascii="仿宋_GB2312" w:hAnsi="仿宋_GB2312" w:eastAsia="仿宋_GB2312" w:cs="仿宋_GB2312"/>
          <w:sz w:val="32"/>
          <w:szCs w:val="32"/>
        </w:rPr>
        <w:t>使用的洗手液、纸巾（手纸）、当事人用的胶杯以及其它接待物品。</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物业管理工作的需要，中标人负责承担其在对委托物业进行各类设备设施的日常管理和维修工作中产生的所有人工费用和工具费用。维修工作原则是“能修则修，不能修则更换”。在维修工作中产生的非人为事故破坏（非人为因素）造成的需要维修或需要更换的单件物件、材料由中标人提出申请经采购人审批后，由采购人支付费用。</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textAlignment w:val="auto"/>
        <w:outlineLvl w:val="9"/>
        <w:rPr>
          <w:rFonts w:hint="eastAsia" w:ascii="仿宋_GB2312" w:hAnsi="仿宋_GB2312" w:eastAsia="仿宋_GB2312" w:cs="仿宋_GB2312"/>
          <w:sz w:val="32"/>
          <w:szCs w:val="32"/>
        </w:rPr>
      </w:pPr>
      <w:r>
        <w:rPr>
          <w:rFonts w:eastAsia="仿宋" w:cs="仿宋" w:asciiTheme="minorEastAsia" w:hAnsiTheme="minorEastAsia"/>
          <w:bCs w:val="0"/>
          <w:spacing w:val="-10"/>
          <w:sz w:val="32"/>
          <w:szCs w:val="32"/>
        </w:rPr>
        <w:t>★</w:t>
      </w:r>
      <w:r>
        <w:rPr>
          <w:rFonts w:hint="eastAsia" w:ascii="仿宋_GB2312" w:hAnsi="仿宋_GB2312" w:eastAsia="仿宋_GB2312" w:cs="仿宋_GB2312"/>
          <w:sz w:val="32"/>
          <w:szCs w:val="32"/>
        </w:rPr>
        <w:t>本项目不得分包外判，若经查实中标人存在分包外判的情况，采购人有权单方面解除合同。（投标时提供承诺书）</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有关费用分担的说明</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①服务人员工资福利、保险、工作服由中标人承担。</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bCs w:val="0"/>
          <w:sz w:val="32"/>
          <w:szCs w:val="32"/>
        </w:rPr>
      </w:pPr>
      <w:r>
        <w:rPr>
          <w:rFonts w:hint="eastAsia" w:ascii="仿宋_GB2312" w:hAnsi="仿宋_GB2312" w:eastAsia="仿宋_GB2312" w:cs="仿宋_GB2312"/>
          <w:sz w:val="32"/>
          <w:szCs w:val="32"/>
        </w:rPr>
        <w:t>②卫生工具、劳保用品、分类垃圾袋、垃圾转运、院内垃圾桶等费用由采购人承担。</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岗位职责与要求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4"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bCs w:val="0"/>
          <w:spacing w:val="1"/>
          <w:sz w:val="32"/>
          <w:szCs w:val="32"/>
          <w:lang w:eastAsia="zh-CN"/>
        </w:rPr>
        <w:t>（</w:t>
      </w:r>
      <w:r>
        <w:rPr>
          <w:rFonts w:hint="eastAsia" w:ascii="仿宋_GB2312" w:hAnsi="仿宋_GB2312" w:eastAsia="仿宋_GB2312" w:cs="仿宋_GB2312"/>
          <w:bCs w:val="0"/>
          <w:spacing w:val="1"/>
          <w:sz w:val="32"/>
          <w:szCs w:val="32"/>
          <w:lang w:val="en-US" w:eastAsia="zh-CN"/>
        </w:rPr>
        <w:t>1</w:t>
      </w:r>
      <w:r>
        <w:rPr>
          <w:rFonts w:hint="eastAsia" w:ascii="仿宋_GB2312" w:hAnsi="仿宋_GB2312" w:eastAsia="仿宋_GB2312" w:cs="仿宋_GB2312"/>
          <w:bCs w:val="0"/>
          <w:spacing w:val="1"/>
          <w:sz w:val="32"/>
          <w:szCs w:val="32"/>
          <w:lang w:eastAsia="zh-CN"/>
        </w:rPr>
        <w:t>）</w:t>
      </w:r>
      <w:r>
        <w:rPr>
          <w:rFonts w:hint="eastAsia" w:ascii="仿宋_GB2312" w:hAnsi="仿宋_GB2312" w:eastAsia="仿宋_GB2312" w:cs="仿宋_GB2312"/>
          <w:bCs w:val="0"/>
          <w:spacing w:val="1"/>
          <w:sz w:val="32"/>
          <w:szCs w:val="32"/>
          <w14:textOutline w14:w="5181" w14:cap="flat" w14:cmpd="sng" w14:algn="ctr">
            <w14:solidFill>
              <w14:srgbClr w14:val="000000"/>
            </w14:solidFill>
            <w14:prstDash w14:val="solid"/>
            <w14:miter w14:val="0"/>
          </w14:textOutline>
        </w:rPr>
        <w:t>保安员</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中标人提供符合采购人要求的人力资源确保完成以治安安全为中心的各办公场所管理服务性事务。</w:t>
      </w:r>
      <w:r>
        <w:rPr>
          <w:rFonts w:hint="eastAsia" w:ascii="仿宋_GB2312" w:hAnsi="仿宋_GB2312" w:eastAsia="仿宋_GB2312" w:cs="仿宋_GB2312"/>
          <w:sz w:val="32"/>
          <w:szCs w:val="32"/>
          <w:lang w:eastAsia="zh-CN"/>
        </w:rPr>
        <w:t>结合实际排班</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88" w:firstLineChars="200"/>
        <w:textAlignment w:val="auto"/>
        <w:outlineLvl w:val="9"/>
        <w:rPr>
          <w:rFonts w:hint="eastAsia" w:ascii="仿宋_GB2312" w:hAnsi="仿宋_GB2312" w:eastAsia="仿宋_GB2312" w:cs="仿宋_GB2312"/>
          <w:bCs w:val="0"/>
          <w:spacing w:val="-13"/>
          <w:sz w:val="32"/>
          <w:szCs w:val="32"/>
        </w:rPr>
      </w:pPr>
      <w:r>
        <w:rPr>
          <w:rFonts w:hint="eastAsia" w:ascii="仿宋_GB2312" w:hAnsi="仿宋_GB2312" w:eastAsia="仿宋_GB2312" w:cs="仿宋_GB2312"/>
          <w:bCs w:val="0"/>
          <w:spacing w:val="-13"/>
          <w:sz w:val="32"/>
          <w:szCs w:val="32"/>
        </w:rPr>
        <w:t>1）人员素质要求</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①保安从业人员应知法、懂法、守法，依法办事，严格遵守保安从业规范，模范遵守安全管理规定。</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②保安队长要具备高中以上学历，有较高的政治思想素养和业务水平，有较强的组织协调能力，受过专门的保安业务培训。</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③保安人员个人素质条件：以高中文化程度(含职高)以上为主，退伍军人优先，年龄 5</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岁以下，身体健康，没有传染病及精神病等不能控制自己行为能力的疾病病史，体貌端正。无犯罪记录。</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④所聘用的保安人员有吃苦耐劳的精神和高度的责任感，接受过专门的岗前培训，熟知采购人的管理规定，严格履行岗位职责，善于发现各类问题，具备一定的管理经验和处理突发事件能力。</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⑤中标人要加强对保安业务的管理，确保保安在服务区内无违规事件发生。</w:t>
      </w:r>
    </w:p>
    <w:p>
      <w:pPr>
        <w:keepNext w:val="0"/>
        <w:keepLines w:val="0"/>
        <w:pageBreakBefore w:val="0"/>
        <w:widowControl w:val="0"/>
        <w:kinsoku/>
        <w:wordWrap/>
        <w:overflowPunct/>
        <w:topLinePunct w:val="0"/>
        <w:autoSpaceDE/>
        <w:autoSpaceDN/>
        <w:bidi w:val="0"/>
        <w:adjustRightInd w:val="0"/>
        <w:snapToGrid w:val="0"/>
        <w:spacing w:line="560" w:lineRule="exact"/>
        <w:ind w:firstLine="588"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bCs w:val="0"/>
          <w:spacing w:val="-13"/>
          <w:sz w:val="32"/>
          <w:szCs w:val="32"/>
          <w:lang w:val="en-US" w:eastAsia="zh-CN"/>
        </w:rPr>
        <w:t>2</w:t>
      </w:r>
      <w:r>
        <w:rPr>
          <w:rFonts w:hint="eastAsia" w:ascii="仿宋_GB2312" w:hAnsi="仿宋_GB2312" w:eastAsia="仿宋_GB2312" w:cs="仿宋_GB2312"/>
          <w:bCs w:val="0"/>
          <w:spacing w:val="-13"/>
          <w:sz w:val="32"/>
          <w:szCs w:val="32"/>
        </w:rPr>
        <w:t>）</w:t>
      </w:r>
      <w:r>
        <w:rPr>
          <w:rFonts w:hint="eastAsia" w:ascii="仿宋_GB2312" w:hAnsi="仿宋_GB2312" w:eastAsia="仿宋_GB2312" w:cs="仿宋_GB2312"/>
          <w:bCs w:val="0"/>
          <w:spacing w:val="-7"/>
          <w:sz w:val="32"/>
          <w:szCs w:val="32"/>
        </w:rPr>
        <w:t>保卫安全管理服务工作内容简述如下：</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①保卫安全管理，主要指24小时值班，包括日常安全防范、巡查，外来人员出入大楼的检查、登记、引导和管理，及其它传 达性质的工作;</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②停车场车辆管理，主要指车辆的在库情况的巡查，车辆出入的查验、登记，车辆驾驶人员遵守规章制度情况的查验，不包含对车辆性能的检查等涉及技术层面的工作；</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③协助水电工等技术人员做好对设备设施的检查工作；</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④根据采购人的要求完成急、难、险、重或某项特定的保卫安 全管理服务和其它勤务工作；</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⑤负责采购人的全部消防设施、设备的使用和管理及火灾的报警和救助工作，并制定较为完善的消防应急方案。</w:t>
      </w:r>
    </w:p>
    <w:p>
      <w:pPr>
        <w:keepNext w:val="0"/>
        <w:keepLines w:val="0"/>
        <w:pageBreakBefore w:val="0"/>
        <w:widowControl w:val="0"/>
        <w:kinsoku/>
        <w:wordWrap/>
        <w:overflowPunct/>
        <w:topLinePunct w:val="0"/>
        <w:autoSpaceDE/>
        <w:autoSpaceDN/>
        <w:bidi w:val="0"/>
        <w:adjustRightInd w:val="0"/>
        <w:snapToGrid w:val="0"/>
        <w:spacing w:line="560" w:lineRule="exact"/>
        <w:ind w:firstLine="644"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bCs w:val="0"/>
          <w:spacing w:val="1"/>
          <w:sz w:val="32"/>
          <w:szCs w:val="32"/>
          <w:lang w:eastAsia="zh-CN"/>
          <w14:textOutline w14:w="5181" w14:cap="flat" w14:cmpd="sng" w14:algn="ctr">
            <w14:solidFill>
              <w14:srgbClr w14:val="000000"/>
            </w14:solidFill>
            <w14:prstDash w14:val="solid"/>
            <w14:miter w14:val="0"/>
          </w14:textOutline>
        </w:rPr>
        <w:t>（</w:t>
      </w:r>
      <w:r>
        <w:rPr>
          <w:rFonts w:hint="eastAsia" w:ascii="仿宋_GB2312" w:hAnsi="仿宋_GB2312" w:eastAsia="仿宋_GB2312" w:cs="仿宋_GB2312"/>
          <w:bCs w:val="0"/>
          <w:spacing w:val="1"/>
          <w:sz w:val="32"/>
          <w:szCs w:val="32"/>
          <w:lang w:val="en-US" w:eastAsia="zh-CN"/>
          <w14:textOutline w14:w="5181" w14:cap="flat" w14:cmpd="sng" w14:algn="ctr">
            <w14:solidFill>
              <w14:srgbClr w14:val="000000"/>
            </w14:solidFill>
            <w14:prstDash w14:val="solid"/>
            <w14:miter w14:val="0"/>
          </w14:textOutline>
        </w:rPr>
        <w:t>2</w:t>
      </w:r>
      <w:r>
        <w:rPr>
          <w:rFonts w:hint="eastAsia" w:ascii="仿宋_GB2312" w:hAnsi="仿宋_GB2312" w:eastAsia="仿宋_GB2312" w:cs="仿宋_GB2312"/>
          <w:bCs w:val="0"/>
          <w:spacing w:val="1"/>
          <w:sz w:val="32"/>
          <w:szCs w:val="32"/>
          <w:lang w:eastAsia="zh-CN"/>
          <w14:textOutline w14:w="5181" w14:cap="flat" w14:cmpd="sng" w14:algn="ctr">
            <w14:solidFill>
              <w14:srgbClr w14:val="000000"/>
            </w14:solidFill>
            <w14:prstDash w14:val="solid"/>
            <w14:miter w14:val="0"/>
          </w14:textOutline>
        </w:rPr>
        <w:t>）</w:t>
      </w:r>
      <w:r>
        <w:rPr>
          <w:rFonts w:hint="eastAsia" w:ascii="仿宋_GB2312" w:hAnsi="仿宋_GB2312" w:eastAsia="仿宋_GB2312" w:cs="仿宋_GB2312"/>
          <w:bCs w:val="0"/>
          <w:spacing w:val="1"/>
          <w:sz w:val="32"/>
          <w:szCs w:val="32"/>
          <w14:textOutline w14:w="5181" w14:cap="flat" w14:cmpd="sng" w14:algn="ctr">
            <w14:solidFill>
              <w14:srgbClr w14:val="000000"/>
            </w14:solidFill>
            <w14:prstDash w14:val="solid"/>
            <w14:miter w14:val="0"/>
          </w14:textOutline>
        </w:rPr>
        <w:t>驾驶员</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个人素质条件：年龄,50岁以下，身体健康，没有传染病及精神病等不能控制自己行为能力的疾病病史，体貌端正。无犯罪记录。上班时间：早上8：30—12:00，下午14:00—17:30 。</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1）采购人负责工作所需车辆提供，并负责处驾驶员薪酬待遇外的车辆日常运行维修等费用。</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2）车辆驾驶员由中标人负责招聘和培训后才能上岗，所有人员均持有C1或以上驾照，并按照有关规定进行体检，中标人应制定严格的车辆管理制度。</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3）资格条件：男性，年龄在50岁以下，身体合格，胜任劳动强度较大的工作，遵纪守法，具有国家规定的上岗资格。</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4）无犯罪记录、无精神病史、无吸毒史、无交通违法记满12分记录且三年之内无重大事故，无不良嗜好。熟悉本区道路，驾驶习惯良好。</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5）驾驶员应服从安排，如因工作需要，随传随到。</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6）驾驶员需负责车辆日常使用、保洁，做好车辆日常运行所需保障与维护，包含但不限于及时年检、保险购买、加油、洗车等。</w:t>
      </w:r>
    </w:p>
    <w:p>
      <w:pPr>
        <w:keepNext w:val="0"/>
        <w:keepLines w:val="0"/>
        <w:pageBreakBefore w:val="0"/>
        <w:widowControl w:val="0"/>
        <w:kinsoku/>
        <w:wordWrap/>
        <w:overflowPunct/>
        <w:topLinePunct w:val="0"/>
        <w:autoSpaceDE/>
        <w:autoSpaceDN/>
        <w:bidi w:val="0"/>
        <w:adjustRightInd w:val="0"/>
        <w:snapToGrid w:val="0"/>
        <w:spacing w:line="560" w:lineRule="exact"/>
        <w:ind w:firstLine="644"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bCs w:val="0"/>
          <w:spacing w:val="1"/>
          <w:sz w:val="32"/>
          <w:szCs w:val="32"/>
          <w:lang w:eastAsia="zh-CN"/>
          <w14:textOutline w14:w="5181" w14:cap="flat" w14:cmpd="sng" w14:algn="ctr">
            <w14:solidFill>
              <w14:srgbClr w14:val="000000"/>
            </w14:solidFill>
            <w14:prstDash w14:val="solid"/>
            <w14:miter w14:val="0"/>
          </w14:textOutline>
        </w:rPr>
        <w:t>（</w:t>
      </w:r>
      <w:r>
        <w:rPr>
          <w:rFonts w:hint="eastAsia" w:ascii="仿宋_GB2312" w:hAnsi="仿宋_GB2312" w:eastAsia="仿宋_GB2312" w:cs="仿宋_GB2312"/>
          <w:bCs w:val="0"/>
          <w:spacing w:val="1"/>
          <w:sz w:val="32"/>
          <w:szCs w:val="32"/>
          <w:lang w:val="en-US" w:eastAsia="zh-CN"/>
          <w14:textOutline w14:w="5181" w14:cap="flat" w14:cmpd="sng" w14:algn="ctr">
            <w14:solidFill>
              <w14:srgbClr w14:val="000000"/>
            </w14:solidFill>
            <w14:prstDash w14:val="solid"/>
            <w14:miter w14:val="0"/>
          </w14:textOutline>
        </w:rPr>
        <w:t>3</w:t>
      </w:r>
      <w:r>
        <w:rPr>
          <w:rFonts w:hint="eastAsia" w:ascii="仿宋_GB2312" w:hAnsi="仿宋_GB2312" w:eastAsia="仿宋_GB2312" w:cs="仿宋_GB2312"/>
          <w:bCs w:val="0"/>
          <w:spacing w:val="1"/>
          <w:sz w:val="32"/>
          <w:szCs w:val="32"/>
          <w:lang w:eastAsia="zh-CN"/>
          <w14:textOutline w14:w="5181" w14:cap="flat" w14:cmpd="sng" w14:algn="ctr">
            <w14:solidFill>
              <w14:srgbClr w14:val="000000"/>
            </w14:solidFill>
            <w14:prstDash w14:val="solid"/>
            <w14:miter w14:val="0"/>
          </w14:textOutline>
        </w:rPr>
        <w:t>）</w:t>
      </w:r>
      <w:r>
        <w:rPr>
          <w:rFonts w:hint="eastAsia" w:ascii="仿宋_GB2312" w:hAnsi="仿宋_GB2312" w:eastAsia="仿宋_GB2312" w:cs="仿宋_GB2312"/>
          <w:bCs w:val="0"/>
          <w:spacing w:val="1"/>
          <w:sz w:val="32"/>
          <w:szCs w:val="32"/>
          <w14:textOutline w14:w="5181" w14:cap="flat" w14:cmpd="sng" w14:algn="ctr">
            <w14:solidFill>
              <w14:srgbClr w14:val="000000"/>
            </w14:solidFill>
            <w14:prstDash w14:val="solid"/>
            <w14:miter w14:val="0"/>
          </w14:textOutline>
        </w:rPr>
        <w:t>保洁员</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个人素质条件：年龄</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岁以下，身体健康，没有传染病及精神病等不能控制自己行为能力的疾病病史，体貌端正。无犯罪记录。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上班时间：早上7：00—11:00、下午14:30—17:30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1）中标人按工作程序对范围内的场所进行日常定期清扫或不定期的清扫保洁，做到按制定标准全天候、全方位保洁，特别对大堂、卫生间及局领导办公室等重要部位做到按标准定人定点定时管理、巡查、监督。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2）中标人需负责垃圾的分类收集、清运至办公楼生活垃圾收集站（点），做到垃圾日产日清；负责定期进行杀灭蚊、蝇、蟑、鼠，并做到无滋生源，定期进行消毒卫生。</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3）中标人需负责主要出入口地毯清洁、吸尘，遇到大型活动，须按采购人要求进行清洁卫生。</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4）采购人负责日常清洁卫生中消耗的物料和工具。</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5）其它与清洁卫生有关的事项。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4"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bCs w:val="0"/>
          <w:spacing w:val="1"/>
          <w:sz w:val="32"/>
          <w:szCs w:val="32"/>
          <w:lang w:eastAsia="zh-CN"/>
          <w14:textOutline w14:w="5181" w14:cap="flat" w14:cmpd="sng" w14:algn="ctr">
            <w14:solidFill>
              <w14:srgbClr w14:val="000000"/>
            </w14:solidFill>
            <w14:prstDash w14:val="solid"/>
            <w14:miter w14:val="0"/>
          </w14:textOutline>
        </w:rPr>
        <w:t>（</w:t>
      </w:r>
      <w:r>
        <w:rPr>
          <w:rFonts w:hint="eastAsia" w:ascii="仿宋_GB2312" w:hAnsi="仿宋_GB2312" w:eastAsia="仿宋_GB2312" w:cs="仿宋_GB2312"/>
          <w:bCs w:val="0"/>
          <w:spacing w:val="1"/>
          <w:sz w:val="32"/>
          <w:szCs w:val="32"/>
          <w:lang w:val="en-US" w:eastAsia="zh-CN"/>
          <w14:textOutline w14:w="5181" w14:cap="flat" w14:cmpd="sng" w14:algn="ctr">
            <w14:solidFill>
              <w14:srgbClr w14:val="000000"/>
            </w14:solidFill>
            <w14:prstDash w14:val="solid"/>
            <w14:miter w14:val="0"/>
          </w14:textOutline>
        </w:rPr>
        <w:t>4</w:t>
      </w:r>
      <w:r>
        <w:rPr>
          <w:rFonts w:hint="eastAsia" w:ascii="仿宋_GB2312" w:hAnsi="仿宋_GB2312" w:eastAsia="仿宋_GB2312" w:cs="仿宋_GB2312"/>
          <w:bCs w:val="0"/>
          <w:spacing w:val="1"/>
          <w:sz w:val="32"/>
          <w:szCs w:val="32"/>
          <w:lang w:eastAsia="zh-CN"/>
          <w14:textOutline w14:w="5181" w14:cap="flat" w14:cmpd="sng" w14:algn="ctr">
            <w14:solidFill>
              <w14:srgbClr w14:val="000000"/>
            </w14:solidFill>
            <w14:prstDash w14:val="solid"/>
            <w14:miter w14:val="0"/>
          </w14:textOutline>
        </w:rPr>
        <w:t>）</w:t>
      </w:r>
      <w:r>
        <w:rPr>
          <w:rFonts w:hint="eastAsia" w:ascii="仿宋_GB2312" w:hAnsi="仿宋_GB2312" w:eastAsia="仿宋_GB2312" w:cs="仿宋_GB2312"/>
          <w:bCs w:val="0"/>
          <w:spacing w:val="1"/>
          <w:sz w:val="32"/>
          <w:szCs w:val="32"/>
          <w14:textOutline w14:w="5181" w14:cap="flat" w14:cmpd="sng" w14:algn="ctr">
            <w14:solidFill>
              <w14:srgbClr w14:val="000000"/>
            </w14:solidFill>
            <w14:prstDash w14:val="solid"/>
            <w14:miter w14:val="0"/>
          </w14:textOutline>
        </w:rPr>
        <w:t>水电工</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1）中标人根据采购人的要求，提供符合条件的水电专业技术人员对物业各项水电设施设备进行监督管理、保养和一般性维修。上班时间：早上 8：30—12:00，下午14:00—17:30 。</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2）采购人负责聘请专业维保单位进行电梯、监控系统、消防系统、会议投影系统等专业性较强的维保工作，中标人负责日常监管。</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3）对专业公司承包保养的电梯，在日常使用过程中要制定使用运行制度，及时发现设备使用过程中的隐患并通知专业公司维修、保养，杜绝安全事故发生。</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除以上专业公司维保的设备外，其余物业水电设施设备及办公家具的小型维修均由中标人进行日常维修保养管理，进行定期或临时的保养和维修，以确保各项设施的完好和正常使用，维修保养工作要建立制度，强调时效性，对无法解决的事故或较大型的保养和维修，及时报采购人处理。</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5）负责以及其它与物业设施、设备使用、维护和管理有关的事项，所需物料由采购方负责采购。</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日常维护保养管理是指为确保物业配套用水、用电设备设施的正常运行，中标人须不间断（或定期）地进行的卫生清洁、养护、巡查、试验（包括采用测试手段进行的专业性检查）和对有关情况进行登记汇总并定期（不定期）向采购人汇报等服务性事务。</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一般性维修是指为确保物业的部分配套的用水、用电、门磁、排气扇等设备设施的正常运行，中标人对在管理过程中发现设备设施的故障、损坏部位或存在的危险隐患立即进行保护性修复或整改的服务性事务。</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8）采购人要求中标人管理和维修的物业配套的用水用电附属设备设施主要是指：各类给排水系统（含水泵房、供水水泵、供水池）、消防水池、排水沟、雨水井、污水井、化粪池及其它供水、排污设备设施；</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9）低压用（配）电系统主要是指：低压配电房设备设施、各类低压电箱、各类低压用（配）电器，包括各种低压用（配） 电开关、照明器（含采购人的物业区域内所有照明设备）、插座、各区域的排气扇组成的通风系统及其它各类低压用（配）电器；</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10）安防门设施主要是指：各种房门、通道门、间隔门（含木门、玻璃门、铁门、卷闸门、伸缩门）；</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11）消防设备设施主要是指：消防栓、消防箱内的其他消防配件以及发电房的烟（温）感喷淋灭火消防设备；</w:t>
      </w:r>
    </w:p>
    <w:p>
      <w:pPr>
        <w:keepNext w:val="0"/>
        <w:keepLines w:val="0"/>
        <w:pageBreakBefore w:val="0"/>
        <w:widowControl w:val="0"/>
        <w:kinsoku/>
        <w:wordWrap/>
        <w:overflowPunct/>
        <w:topLinePunct w:val="0"/>
        <w:autoSpaceDE/>
        <w:autoSpaceDN/>
        <w:bidi w:val="0"/>
        <w:adjustRightInd w:val="0"/>
        <w:snapToGrid w:val="0"/>
        <w:spacing w:line="560" w:lineRule="exact"/>
        <w:ind w:firstLine="644" w:firstLineChars="200"/>
        <w:textAlignment w:val="auto"/>
        <w:outlineLvl w:val="9"/>
        <w:rPr>
          <w:rFonts w:hint="eastAsia" w:ascii="仿宋_GB2312" w:hAnsi="仿宋_GB2312" w:eastAsia="仿宋_GB2312" w:cs="仿宋_GB2312"/>
          <w:bCs w:val="0"/>
          <w:sz w:val="32"/>
          <w:szCs w:val="32"/>
        </w:rPr>
      </w:pPr>
      <w:r>
        <w:rPr>
          <w:rFonts w:hint="eastAsia" w:ascii="仿宋_GB2312" w:hAnsi="仿宋_GB2312" w:eastAsia="仿宋_GB2312" w:cs="仿宋_GB2312"/>
          <w:bCs w:val="0"/>
          <w:spacing w:val="1"/>
          <w:sz w:val="32"/>
          <w:szCs w:val="32"/>
          <w:lang w:eastAsia="zh-CN"/>
          <w14:textOutline w14:w="5181" w14:cap="flat" w14:cmpd="sng" w14:algn="ctr">
            <w14:solidFill>
              <w14:srgbClr w14:val="000000"/>
            </w14:solidFill>
            <w14:prstDash w14:val="solid"/>
            <w14:miter w14:val="0"/>
          </w14:textOutline>
        </w:rPr>
        <w:t>（</w:t>
      </w:r>
      <w:r>
        <w:rPr>
          <w:rFonts w:hint="eastAsia" w:ascii="仿宋_GB2312" w:hAnsi="仿宋_GB2312" w:eastAsia="仿宋_GB2312" w:cs="仿宋_GB2312"/>
          <w:bCs w:val="0"/>
          <w:spacing w:val="1"/>
          <w:sz w:val="32"/>
          <w:szCs w:val="32"/>
          <w:lang w:val="en-US" w:eastAsia="zh-CN"/>
          <w14:textOutline w14:w="5181" w14:cap="flat" w14:cmpd="sng" w14:algn="ctr">
            <w14:solidFill>
              <w14:srgbClr w14:val="000000"/>
            </w14:solidFill>
            <w14:prstDash w14:val="solid"/>
            <w14:miter w14:val="0"/>
          </w14:textOutline>
        </w:rPr>
        <w:t>5</w:t>
      </w:r>
      <w:r>
        <w:rPr>
          <w:rFonts w:hint="eastAsia" w:ascii="仿宋_GB2312" w:hAnsi="仿宋_GB2312" w:eastAsia="仿宋_GB2312" w:cs="仿宋_GB2312"/>
          <w:bCs w:val="0"/>
          <w:spacing w:val="1"/>
          <w:sz w:val="32"/>
          <w:szCs w:val="32"/>
          <w:lang w:eastAsia="zh-CN"/>
          <w14:textOutline w14:w="5181" w14:cap="flat" w14:cmpd="sng" w14:algn="ctr">
            <w14:solidFill>
              <w14:srgbClr w14:val="000000"/>
            </w14:solidFill>
            <w14:prstDash w14:val="solid"/>
            <w14:miter w14:val="0"/>
          </w14:textOutline>
        </w:rPr>
        <w:t>）</w:t>
      </w:r>
      <w:r>
        <w:rPr>
          <w:rFonts w:hint="eastAsia" w:ascii="仿宋_GB2312" w:hAnsi="仿宋_GB2312" w:eastAsia="仿宋_GB2312" w:cs="仿宋_GB2312"/>
          <w:bCs w:val="0"/>
          <w:spacing w:val="1"/>
          <w:sz w:val="32"/>
          <w:szCs w:val="32"/>
          <w14:textOutline w14:w="5181" w14:cap="flat" w14:cmpd="sng" w14:algn="ctr">
            <w14:solidFill>
              <w14:srgbClr w14:val="000000"/>
            </w14:solidFill>
            <w14:prstDash w14:val="solid"/>
            <w14:miter w14:val="0"/>
          </w14:textOutline>
        </w:rPr>
        <w:t>管理员</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1）人员个人素质条件：年龄40岁以下，</w:t>
      </w:r>
      <w:r>
        <w:rPr>
          <w:rFonts w:hint="eastAsia" w:ascii="仿宋_GB2312" w:hAnsi="仿宋_GB2312" w:eastAsia="仿宋_GB2312" w:cs="仿宋_GB2312"/>
          <w:sz w:val="32"/>
          <w:szCs w:val="32"/>
          <w:lang w:eastAsia="zh-CN"/>
        </w:rPr>
        <w:t>全日制</w:t>
      </w:r>
      <w:r>
        <w:rPr>
          <w:rFonts w:hint="eastAsia" w:ascii="仿宋_GB2312" w:hAnsi="仿宋_GB2312" w:eastAsia="仿宋_GB2312" w:cs="仿宋_GB2312"/>
          <w:sz w:val="32"/>
          <w:szCs w:val="32"/>
        </w:rPr>
        <w:t xml:space="preserve">大专及以上学历，身体健康，没有传染病及精神病等不能控制自己行为能力的疾病病史，体貌端正。无犯罪记录。服从采购人的管理，遵守采购人制定的各项规章制度，根据采购人布置的工作任务保质保量按时完成。具有较强工作责任心，工作态度端正，具有与工作内容相一致的技术与能力，坚决杜绝因工作失误造成被上级通报批评等对本单位产生不良影响的事情发生。上班时间：早上8：30—12:00，下午14:00—17:30 </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2）根据采购人的要求，中标人向采购人提供熟悉并掌握各种办公软件管理服务工作的专业技术人员完成包括日常巡查、表格制定、通报整改反馈、阶段性小结报告、完善台账、会务服务等管理服务性事务</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3）日常办公设施设备的耗材等由采购人负责提供，采购人负责日常监督管理和协调工作，中标人所提供人员应服从采购人日常管理和工作安排。</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五、</w:t>
      </w:r>
      <w:r>
        <w:rPr>
          <w:rFonts w:hint="eastAsia" w:ascii="黑体" w:hAnsi="黑体" w:eastAsia="黑体" w:cs="黑体"/>
          <w:sz w:val="32"/>
          <w:szCs w:val="32"/>
          <w:highlight w:val="none"/>
        </w:rPr>
        <w:t>本项目服务因素的需求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（一）</w:t>
      </w:r>
      <w:r>
        <w:rPr>
          <w:rFonts w:hint="eastAsia" w:ascii="楷体_GB2312" w:hAnsi="楷体_GB2312" w:eastAsia="楷体_GB2312" w:cs="楷体_GB2312"/>
          <w:b w:val="0"/>
          <w:bCs w:val="0"/>
          <w:sz w:val="32"/>
          <w:szCs w:val="32"/>
        </w:rPr>
        <w:t>服务场所响应服务的需求</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评委会根据投标人服务机构设立是否方便为项目提供便捷的优质服务进行对比评分。证明材料原件备查。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（二）</w:t>
      </w:r>
      <w:r>
        <w:rPr>
          <w:rFonts w:hint="eastAsia" w:ascii="楷体_GB2312" w:hAnsi="楷体_GB2312" w:eastAsia="楷体_GB2312" w:cs="楷体_GB2312"/>
          <w:b w:val="0"/>
          <w:bCs w:val="0"/>
          <w:sz w:val="32"/>
          <w:szCs w:val="32"/>
        </w:rPr>
        <w:t>服务团队的需求</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政府采购活动面向中国境内，考虑到当前国内有些直辖市按照半年打印一次社保记录的现状，因此，服务团队的社保记录时间设置为开标当日之前半年内连续3个月。</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投标人需要安排服务团队的人员数量</w:t>
      </w:r>
      <w:r>
        <w:rPr>
          <w:rFonts w:hint="eastAsia" w:ascii="仿宋_GB2312" w:hAnsi="仿宋_GB2312" w:eastAsia="仿宋_GB2312" w:cs="仿宋_GB2312"/>
          <w:sz w:val="32"/>
          <w:szCs w:val="32"/>
          <w:lang w:eastAsia="zh-CN"/>
        </w:rPr>
        <w:t>不少于</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（不含项目负责人）</w:t>
      </w:r>
      <w:r>
        <w:rPr>
          <w:rFonts w:hint="eastAsia" w:ascii="仿宋_GB2312" w:hAnsi="仿宋_GB2312" w:eastAsia="仿宋_GB2312" w:cs="仿宋_GB2312"/>
          <w:sz w:val="32"/>
          <w:szCs w:val="32"/>
        </w:rPr>
        <w:t>，具体如下：</w:t>
      </w:r>
    </w:p>
    <w:p>
      <w:pPr>
        <w:keepNext w:val="0"/>
        <w:keepLines w:val="0"/>
        <w:pageBreakBefore w:val="0"/>
        <w:widowControl w:val="0"/>
        <w:kinsoku/>
        <w:wordWrap/>
        <w:overflowPunct/>
        <w:topLinePunct w:val="0"/>
        <w:autoSpaceDE/>
        <w:autoSpaceDN/>
        <w:bidi w:val="0"/>
        <w:adjustRightInd w:val="0"/>
        <w:snapToGrid w:val="0"/>
        <w:spacing w:line="560" w:lineRule="exact"/>
        <w:ind w:firstLine="596" w:firstLineChars="200"/>
        <w:textAlignment w:val="auto"/>
        <w:outlineLvl w:val="9"/>
        <w:rPr>
          <w:rFonts w:hint="eastAsia" w:ascii="仿宋_GB2312" w:hAnsi="仿宋_GB2312" w:eastAsia="仿宋_GB2312" w:cs="仿宋_GB2312"/>
          <w:bCs w:val="0"/>
          <w:color w:val="auto"/>
          <w:sz w:val="32"/>
          <w:szCs w:val="32"/>
        </w:rPr>
      </w:pPr>
      <w:r>
        <w:rPr>
          <w:rFonts w:hint="eastAsia" w:ascii="仿宋_GB2312" w:hAnsi="仿宋_GB2312" w:eastAsia="仿宋_GB2312" w:cs="仿宋_GB2312"/>
          <w:bCs w:val="0"/>
          <w:spacing w:val="-11"/>
          <w:sz w:val="32"/>
          <w:szCs w:val="32"/>
        </w:rPr>
        <w:t>1）</w:t>
      </w:r>
      <w:r>
        <w:rPr>
          <w:rFonts w:hint="eastAsia" w:ascii="仿宋_GB2312" w:hAnsi="仿宋_GB2312" w:eastAsia="仿宋_GB2312" w:cs="仿宋_GB2312"/>
          <w:bCs w:val="0"/>
          <w:color w:val="auto"/>
          <w:spacing w:val="-14"/>
          <w:sz w:val="32"/>
          <w:szCs w:val="32"/>
        </w:rPr>
        <w:t>项目负责人</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投标人派出1名为其已经购买了社保的人员作为本项目负责人</w:t>
      </w:r>
      <w:r>
        <w:rPr>
          <w:rFonts w:hint="eastAsia" w:ascii="仿宋_GB2312" w:hAnsi="仿宋_GB2312" w:eastAsia="仿宋_GB2312" w:cs="仿宋_GB2312"/>
          <w:sz w:val="32"/>
          <w:szCs w:val="32"/>
          <w:lang w:eastAsia="zh-CN"/>
        </w:rPr>
        <w:t>（不纳入本项目人员计算）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负责项目日常管理，</w:t>
      </w:r>
      <w:r>
        <w:rPr>
          <w:rFonts w:hint="eastAsia" w:ascii="仿宋_GB2312" w:hAnsi="仿宋_GB2312" w:eastAsia="仿宋_GB2312" w:cs="仿宋_GB2312"/>
          <w:sz w:val="32"/>
          <w:szCs w:val="32"/>
        </w:rPr>
        <w:t>有较强的协调能力和沟通能力</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具有</w:t>
      </w:r>
      <w:r>
        <w:rPr>
          <w:rFonts w:hint="eastAsia" w:ascii="仿宋_GB2312" w:hAnsi="仿宋_GB2312" w:eastAsia="仿宋_GB2312" w:cs="仿宋_GB2312"/>
          <w:sz w:val="32"/>
          <w:szCs w:val="32"/>
          <w:lang w:val="en-US" w:eastAsia="zh-CN"/>
        </w:rPr>
        <w:t>大专</w:t>
      </w:r>
      <w:r>
        <w:rPr>
          <w:rFonts w:hint="eastAsia" w:ascii="仿宋_GB2312" w:hAnsi="仿宋_GB2312" w:eastAsia="仿宋_GB2312" w:cs="仿宋_GB2312"/>
          <w:sz w:val="32"/>
          <w:szCs w:val="32"/>
        </w:rPr>
        <w:t>或以上学历，</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持有人社部门颁发的建（构）筑物消防员三级或以上职业资格证书</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持有</w:t>
      </w:r>
      <w:r>
        <w:rPr>
          <w:rFonts w:hint="eastAsia" w:ascii="仿宋_GB2312" w:hAnsi="仿宋_GB2312" w:eastAsia="仿宋_GB2312" w:cs="仿宋_GB2312"/>
          <w:sz w:val="32"/>
          <w:szCs w:val="32"/>
          <w:lang w:val="en-US" w:eastAsia="zh-CN"/>
        </w:rPr>
        <w:t>市场监督管理局颁发的安全管理和作业人员证，</w:t>
      </w:r>
      <w:r>
        <w:rPr>
          <w:rFonts w:hint="eastAsia" w:ascii="仿宋_GB2312" w:hAnsi="仿宋_GB2312" w:eastAsia="仿宋_GB2312" w:cs="仿宋_GB2312"/>
          <w:sz w:val="32"/>
          <w:szCs w:val="32"/>
        </w:rPr>
        <w:t>负责本项目从领取中标通知书开始至合同验收完成的相关工作。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36" w:firstLineChars="200"/>
        <w:textAlignment w:val="auto"/>
        <w:outlineLvl w:val="9"/>
        <w:rPr>
          <w:rFonts w:hint="eastAsia" w:ascii="仿宋_GB2312" w:hAnsi="仿宋_GB2312" w:eastAsia="仿宋_GB2312" w:cs="仿宋_GB2312"/>
          <w:bCs w:val="0"/>
          <w:color w:val="auto"/>
          <w:spacing w:val="-1"/>
          <w:sz w:val="32"/>
          <w:szCs w:val="32"/>
        </w:rPr>
      </w:pPr>
      <w:r>
        <w:rPr>
          <w:rFonts w:hint="eastAsia" w:ascii="仿宋_GB2312" w:hAnsi="仿宋_GB2312" w:eastAsia="仿宋_GB2312" w:cs="仿宋_GB2312"/>
          <w:bCs w:val="0"/>
          <w:color w:val="auto"/>
          <w:spacing w:val="-1"/>
          <w:sz w:val="32"/>
          <w:szCs w:val="32"/>
          <w:lang w:val="en-US" w:eastAsia="zh-CN"/>
        </w:rPr>
        <w:t>2）</w:t>
      </w:r>
      <w:r>
        <w:rPr>
          <w:rFonts w:hint="eastAsia" w:ascii="仿宋_GB2312" w:hAnsi="仿宋_GB2312" w:eastAsia="仿宋_GB2312" w:cs="仿宋_GB2312"/>
          <w:bCs w:val="0"/>
          <w:color w:val="auto"/>
          <w:spacing w:val="-1"/>
          <w:sz w:val="32"/>
          <w:szCs w:val="32"/>
          <w:lang w:eastAsia="zh-CN"/>
        </w:rPr>
        <w:t>其他人员</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投标人需拟派项目实施人员</w:t>
      </w:r>
      <w:r>
        <w:rPr>
          <w:rFonts w:hint="eastAsia" w:ascii="仿宋_GB2312" w:hAnsi="仿宋_GB2312" w:eastAsia="仿宋_GB2312" w:cs="仿宋_GB2312"/>
          <w:sz w:val="32"/>
          <w:szCs w:val="32"/>
          <w:lang w:eastAsia="zh-CN"/>
        </w:rPr>
        <w:t>不少于</w:t>
      </w: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人作为本项目服务人员</w:t>
      </w:r>
      <w:r>
        <w:rPr>
          <w:rFonts w:hint="eastAsia" w:ascii="仿宋_GB2312" w:hAnsi="仿宋_GB2312" w:eastAsia="仿宋_GB2312" w:cs="仿宋_GB2312"/>
          <w:sz w:val="32"/>
          <w:szCs w:val="32"/>
          <w:lang w:eastAsia="zh-CN"/>
        </w:rPr>
        <w:t>（可承诺，进驻验收时满足），</w:t>
      </w:r>
      <w:r>
        <w:rPr>
          <w:rFonts w:hint="eastAsia" w:ascii="仿宋_GB2312" w:hAnsi="仿宋_GB2312" w:eastAsia="仿宋_GB2312" w:cs="仿宋_GB2312"/>
          <w:sz w:val="32"/>
          <w:szCs w:val="32"/>
        </w:rPr>
        <w:t>其中拟派驻管理员不少于1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六、</w:t>
      </w:r>
      <w:r>
        <w:rPr>
          <w:rFonts w:hint="eastAsia" w:ascii="黑体" w:hAnsi="黑体" w:eastAsia="黑体" w:cs="黑体"/>
          <w:sz w:val="32"/>
          <w:szCs w:val="32"/>
          <w:highlight w:val="none"/>
        </w:rPr>
        <w:t>本项目</w:t>
      </w:r>
      <w:r>
        <w:rPr>
          <w:rFonts w:hint="eastAsia" w:ascii="黑体" w:hAnsi="黑体" w:eastAsia="黑体" w:cs="黑体"/>
          <w:bCs w:val="0"/>
          <w:spacing w:val="-7"/>
          <w:sz w:val="32"/>
          <w:szCs w:val="32"/>
          <w:lang w:eastAsia="zh-CN"/>
        </w:rPr>
        <w:t>资格</w:t>
      </w:r>
      <w:r>
        <w:rPr>
          <w:rFonts w:hint="eastAsia" w:ascii="黑体" w:hAnsi="黑体" w:eastAsia="黑体" w:cs="黑体"/>
          <w:sz w:val="32"/>
          <w:szCs w:val="32"/>
          <w:highlight w:val="none"/>
        </w:rPr>
        <w:t>的需求</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供应商必须是具有独立承担民事责任能力的在中华人民共和国境内注册的法人或其他组织，投标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时提交有效的营业执照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或事业法人登记证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副本复印件。</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供应商必须具有良好的商业信誉和健全的财务会计制度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提供年度经审计的财务状况报告，或基本开户行出具的资信证明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有依法缴纳税收和社会保障资金的良好记录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提供投标/初次报价截止日前6个月内任意1个月依法缴纳税收和社会保障资金的相关材料。如依法免税或不需要缴纳社会保障资金的，提供相应证明材料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具备履行合同所必需的设备和专业技术能力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按投标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文件格式填报设备及专业技术能力情况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供应商参加政府采购活动前三年内，在经营活动中没有重大违法记录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可参照保留投标函/报价函相关承诺格式内容或提交声明文件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。重大违法记录，是指供应商因违法经营受到刑事处罚或者责令停产停业、吊销许可证或者执照、较大数额罚款等行政处罚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根据财库〔2022〕3号文，“较大数额罚款”认定为200万元以上的罚款，法律、行政法规以及国务院有关部门明确规定相关领域“较大数额罚款”标准高于200万元的，从其规定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供应商必须符合法律、行政法规规定的其他条件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可参照保 留投标函/报价函相关承诺格式内容或提交声明文件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88" w:firstLineChars="200"/>
        <w:jc w:val="both"/>
        <w:textAlignment w:val="auto"/>
        <w:outlineLvl w:val="9"/>
        <w:rPr>
          <w:rFonts w:hint="eastAsia" w:ascii="仿宋_GB2312" w:hAnsi="仿宋_GB2312" w:eastAsia="仿宋_GB2312" w:cs="仿宋_GB2312"/>
          <w:bCs w:val="0"/>
          <w:spacing w:val="-13"/>
          <w:sz w:val="32"/>
          <w:szCs w:val="32"/>
        </w:rPr>
      </w:pPr>
      <w:r>
        <w:rPr>
          <w:rFonts w:hint="eastAsia" w:ascii="仿宋_GB2312" w:hAnsi="仿宋_GB2312" w:eastAsia="仿宋_GB2312" w:cs="仿宋_GB2312"/>
          <w:bCs w:val="0"/>
          <w:spacing w:val="-13"/>
          <w:sz w:val="32"/>
          <w:szCs w:val="32"/>
          <w:lang w:val="en-US" w:eastAsia="zh-CN"/>
        </w:rPr>
        <w:t>7）</w:t>
      </w:r>
      <w:r>
        <w:rPr>
          <w:rFonts w:hint="eastAsia" w:ascii="仿宋_GB2312" w:hAnsi="仿宋_GB2312" w:eastAsia="仿宋_GB2312" w:cs="仿宋_GB2312"/>
          <w:sz w:val="32"/>
          <w:szCs w:val="32"/>
        </w:rPr>
        <w:t>供应商未被列入“信用中国”网站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val="0"/>
          <w:spacing w:val="-13"/>
          <w:sz w:val="32"/>
          <w:szCs w:val="32"/>
        </w:rPr>
        <w:t>www.creditchina.gov.cn</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“记录失信被执行人或重大税收违法 失信主体或政府采购严重违法失信行为记录名单”;不处于中国政府采购网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val="0"/>
          <w:spacing w:val="-13"/>
          <w:sz w:val="32"/>
          <w:szCs w:val="32"/>
        </w:rPr>
        <w:t>www.ccgp.gov.cn</w:t>
      </w:r>
      <w:r>
        <w:rPr>
          <w:rFonts w:hint="eastAsia" w:ascii="仿宋_GB2312" w:hAnsi="仿宋_GB2312" w:eastAsia="仿宋_GB2312" w:cs="仿宋_GB2312"/>
          <w:bCs w:val="0"/>
          <w:spacing w:val="-13"/>
          <w:sz w:val="32"/>
          <w:szCs w:val="32"/>
          <w:lang w:eastAsia="zh-CN"/>
        </w:rPr>
        <w:t>）</w:t>
      </w:r>
      <w:r>
        <w:rPr>
          <w:rFonts w:hint="eastAsia" w:ascii="仿宋_GB2312" w:hAnsi="仿宋_GB2312" w:eastAsia="仿宋_GB2312" w:cs="仿宋_GB2312"/>
          <w:sz w:val="32"/>
          <w:szCs w:val="32"/>
        </w:rPr>
        <w:t>“政府采购严重违法失信行为信息记录”中的禁止参加政府采购活动期间。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以采购代理机构于投标截止日当天在“信用中国”网站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val="0"/>
          <w:spacing w:val="-13"/>
          <w:sz w:val="32"/>
          <w:szCs w:val="32"/>
        </w:rPr>
        <w:t>www.creditchina.gov.cn</w:t>
      </w:r>
      <w:r>
        <w:rPr>
          <w:rFonts w:hint="eastAsia" w:ascii="仿宋_GB2312" w:hAnsi="仿宋_GB2312" w:eastAsia="仿宋_GB2312" w:cs="仿宋_GB2312"/>
          <w:bCs w:val="0"/>
          <w:spacing w:val="-13"/>
          <w:sz w:val="32"/>
          <w:szCs w:val="32"/>
          <w:lang w:eastAsia="zh-CN"/>
        </w:rPr>
        <w:t>）</w:t>
      </w:r>
      <w:r>
        <w:rPr>
          <w:rFonts w:hint="eastAsia" w:ascii="仿宋_GB2312" w:hAnsi="仿宋_GB2312" w:eastAsia="仿宋_GB2312" w:cs="仿宋_GB2312"/>
          <w:sz w:val="32"/>
          <w:szCs w:val="32"/>
        </w:rPr>
        <w:t>及中国政府采购网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val="0"/>
          <w:spacing w:val="-13"/>
          <w:sz w:val="32"/>
          <w:szCs w:val="32"/>
        </w:rPr>
        <w:fldChar w:fldCharType="begin"/>
      </w:r>
      <w:r>
        <w:rPr>
          <w:rFonts w:hint="eastAsia" w:ascii="仿宋_GB2312" w:hAnsi="仿宋_GB2312" w:eastAsia="仿宋_GB2312" w:cs="仿宋_GB2312"/>
          <w:bCs w:val="0"/>
          <w:spacing w:val="-13"/>
          <w:sz w:val="32"/>
          <w:szCs w:val="32"/>
        </w:rPr>
        <w:instrText xml:space="preserve"> HYPERLINK "http://www.ccgp.gov.cn/" </w:instrText>
      </w:r>
      <w:r>
        <w:rPr>
          <w:rFonts w:hint="eastAsia" w:ascii="仿宋_GB2312" w:hAnsi="仿宋_GB2312" w:eastAsia="仿宋_GB2312" w:cs="仿宋_GB2312"/>
          <w:bCs w:val="0"/>
          <w:spacing w:val="-13"/>
          <w:sz w:val="32"/>
          <w:szCs w:val="32"/>
        </w:rPr>
        <w:fldChar w:fldCharType="separate"/>
      </w:r>
      <w:r>
        <w:rPr>
          <w:rFonts w:hint="eastAsia" w:ascii="仿宋_GB2312" w:hAnsi="仿宋_GB2312" w:eastAsia="仿宋_GB2312" w:cs="仿宋_GB2312"/>
          <w:bCs w:val="0"/>
          <w:spacing w:val="-13"/>
          <w:sz w:val="32"/>
          <w:szCs w:val="32"/>
        </w:rPr>
        <w:t>http://www.ccgp.gov.cn/</w:t>
      </w:r>
      <w:r>
        <w:rPr>
          <w:rFonts w:hint="eastAsia" w:ascii="仿宋_GB2312" w:hAnsi="仿宋_GB2312" w:eastAsia="仿宋_GB2312" w:cs="仿宋_GB2312"/>
          <w:bCs w:val="0"/>
          <w:spacing w:val="-13"/>
          <w:sz w:val="32"/>
          <w:szCs w:val="32"/>
        </w:rPr>
        <w:fldChar w:fldCharType="end"/>
      </w:r>
      <w:r>
        <w:rPr>
          <w:rFonts w:hint="eastAsia" w:ascii="仿宋_GB2312" w:hAnsi="仿宋_GB2312" w:eastAsia="仿宋_GB2312" w:cs="仿宋_GB2312"/>
          <w:bCs w:val="0"/>
          <w:spacing w:val="-13"/>
          <w:sz w:val="32"/>
          <w:szCs w:val="32"/>
          <w:lang w:eastAsia="zh-CN"/>
        </w:rPr>
        <w:t>）</w:t>
      </w:r>
      <w:r>
        <w:rPr>
          <w:rFonts w:hint="eastAsia" w:ascii="仿宋_GB2312" w:hAnsi="仿宋_GB2312" w:eastAsia="仿宋_GB2312" w:cs="仿宋_GB2312"/>
          <w:sz w:val="32"/>
          <w:szCs w:val="32"/>
        </w:rPr>
        <w:t>查询结果为准， 如相关失信记录已失效，报价人需提供相关证明资料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val="0"/>
          <w:spacing w:val="-13"/>
          <w:sz w:val="32"/>
          <w:szCs w:val="32"/>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七、</w:t>
      </w:r>
      <w:r>
        <w:rPr>
          <w:rFonts w:hint="eastAsia" w:ascii="黑体" w:hAnsi="黑体" w:eastAsia="黑体" w:cs="黑体"/>
          <w:sz w:val="32"/>
          <w:szCs w:val="32"/>
          <w:highlight w:val="none"/>
        </w:rPr>
        <w:t>本项目业绩因素的需求</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投标人在投标文件提供近三年从20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年至今同类业绩。同类业绩证明文件一般是中标通知书以及相对应政府采购合同，投标人可以提供合同的关键页面。</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八、</w:t>
      </w:r>
      <w:r>
        <w:rPr>
          <w:rFonts w:hint="eastAsia" w:ascii="黑体" w:hAnsi="黑体" w:eastAsia="黑体" w:cs="黑体"/>
          <w:sz w:val="32"/>
          <w:szCs w:val="32"/>
          <w:highlight w:val="none"/>
        </w:rPr>
        <w:t>服务项目价格分设置10分的需求</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属于服务类采购，由于本项目服务时间长、工作内容复杂，故要求在综合评分中将价格评分占比调整为10%，这既符合《政府采购货物和服务招标投标管理办法》（财政部令第87号）的有关规定，又符合该项目的实际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outlineLvl w:val="9"/>
        <w:rPr>
          <w:rFonts w:hint="eastAsia" w:ascii="黑体" w:hAnsi="黑体" w:eastAsia="黑体" w:cs="黑体"/>
          <w:bCs w:val="0"/>
          <w:color w:val="FF0000"/>
          <w:spacing w:val="-6"/>
          <w:sz w:val="32"/>
          <w:szCs w:val="32"/>
          <w:lang w:eastAsia="zh-CN"/>
        </w:rPr>
      </w:pPr>
      <w:r>
        <w:rPr>
          <w:rFonts w:hint="eastAsia" w:ascii="黑体" w:hAnsi="黑体" w:eastAsia="黑体" w:cs="黑体"/>
          <w:bCs w:val="0"/>
          <w:color w:val="FF0000"/>
          <w:spacing w:val="-6"/>
          <w:sz w:val="32"/>
          <w:szCs w:val="32"/>
          <w:lang w:eastAsia="zh-CN"/>
        </w:rPr>
        <w:t>九、特别说明事项</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lang w:eastAsia="zh-CN"/>
        </w:rPr>
        <w:t>原项目</w:t>
      </w:r>
      <w:r>
        <w:rPr>
          <w:rFonts w:hint="eastAsia" w:ascii="仿宋_GB2312" w:hAnsi="仿宋_GB2312" w:eastAsia="仿宋_GB2312" w:cs="仿宋_GB2312"/>
          <w:color w:val="FF0000"/>
          <w:sz w:val="32"/>
          <w:szCs w:val="32"/>
        </w:rPr>
        <w:t>合同于202</w:t>
      </w:r>
      <w:r>
        <w:rPr>
          <w:rFonts w:hint="eastAsia" w:ascii="仿宋_GB2312" w:hAnsi="仿宋_GB2312" w:eastAsia="仿宋_GB2312" w:cs="仿宋_GB2312"/>
          <w:color w:val="FF0000"/>
          <w:sz w:val="32"/>
          <w:szCs w:val="32"/>
          <w:lang w:val="en-US" w:eastAsia="zh-CN"/>
        </w:rPr>
        <w:t>3</w:t>
      </w:r>
      <w:r>
        <w:rPr>
          <w:rFonts w:hint="eastAsia" w:ascii="仿宋_GB2312" w:hAnsi="仿宋_GB2312" w:eastAsia="仿宋_GB2312" w:cs="仿宋_GB2312"/>
          <w:color w:val="FF0000"/>
          <w:sz w:val="32"/>
          <w:szCs w:val="32"/>
        </w:rPr>
        <w:t>年</w:t>
      </w:r>
      <w:r>
        <w:rPr>
          <w:rFonts w:hint="eastAsia" w:ascii="仿宋_GB2312" w:hAnsi="仿宋_GB2312" w:eastAsia="仿宋_GB2312" w:cs="仿宋_GB2312"/>
          <w:color w:val="FF0000"/>
          <w:sz w:val="32"/>
          <w:szCs w:val="32"/>
          <w:lang w:val="en-US" w:eastAsia="zh-CN"/>
        </w:rPr>
        <w:t>3</w:t>
      </w:r>
      <w:r>
        <w:rPr>
          <w:rFonts w:hint="eastAsia" w:ascii="仿宋_GB2312" w:hAnsi="仿宋_GB2312" w:eastAsia="仿宋_GB2312" w:cs="仿宋_GB2312"/>
          <w:color w:val="FF0000"/>
          <w:sz w:val="32"/>
          <w:szCs w:val="32"/>
        </w:rPr>
        <w:t>月</w:t>
      </w:r>
      <w:r>
        <w:rPr>
          <w:rFonts w:hint="eastAsia" w:ascii="仿宋_GB2312" w:hAnsi="仿宋_GB2312" w:eastAsia="仿宋_GB2312" w:cs="仿宋_GB2312"/>
          <w:color w:val="FF0000"/>
          <w:sz w:val="32"/>
          <w:szCs w:val="32"/>
          <w:lang w:val="en-US" w:eastAsia="zh-CN"/>
        </w:rPr>
        <w:t>1日</w:t>
      </w:r>
      <w:r>
        <w:rPr>
          <w:rFonts w:hint="eastAsia" w:ascii="仿宋_GB2312" w:hAnsi="仿宋_GB2312" w:eastAsia="仿宋_GB2312" w:cs="仿宋_GB2312"/>
          <w:color w:val="FF0000"/>
          <w:sz w:val="32"/>
          <w:szCs w:val="32"/>
        </w:rPr>
        <w:t>到期，为确保工作的延续性，自202</w:t>
      </w:r>
      <w:r>
        <w:rPr>
          <w:rFonts w:hint="eastAsia" w:ascii="仿宋_GB2312" w:hAnsi="仿宋_GB2312" w:eastAsia="仿宋_GB2312" w:cs="仿宋_GB2312"/>
          <w:color w:val="FF0000"/>
          <w:sz w:val="32"/>
          <w:szCs w:val="32"/>
          <w:lang w:val="en-US" w:eastAsia="zh-CN"/>
        </w:rPr>
        <w:t>3</w:t>
      </w:r>
      <w:r>
        <w:rPr>
          <w:rFonts w:hint="eastAsia" w:ascii="仿宋_GB2312" w:hAnsi="仿宋_GB2312" w:eastAsia="仿宋_GB2312" w:cs="仿宋_GB2312"/>
          <w:color w:val="FF0000"/>
          <w:sz w:val="32"/>
          <w:szCs w:val="32"/>
        </w:rPr>
        <w:t>年</w:t>
      </w:r>
      <w:r>
        <w:rPr>
          <w:rFonts w:hint="eastAsia" w:ascii="仿宋_GB2312" w:hAnsi="仿宋_GB2312" w:eastAsia="仿宋_GB2312" w:cs="仿宋_GB2312"/>
          <w:color w:val="FF0000"/>
          <w:sz w:val="32"/>
          <w:szCs w:val="32"/>
          <w:lang w:val="en-US" w:eastAsia="zh-CN"/>
        </w:rPr>
        <w:t>3</w:t>
      </w:r>
      <w:r>
        <w:rPr>
          <w:rFonts w:hint="eastAsia" w:ascii="仿宋_GB2312" w:hAnsi="仿宋_GB2312" w:eastAsia="仿宋_GB2312" w:cs="仿宋_GB2312"/>
          <w:color w:val="FF0000"/>
          <w:sz w:val="32"/>
          <w:szCs w:val="32"/>
        </w:rPr>
        <w:t>月</w:t>
      </w:r>
      <w:r>
        <w:rPr>
          <w:rFonts w:hint="eastAsia" w:ascii="仿宋_GB2312" w:hAnsi="仿宋_GB2312" w:eastAsia="仿宋_GB2312" w:cs="仿宋_GB2312"/>
          <w:color w:val="FF0000"/>
          <w:sz w:val="32"/>
          <w:szCs w:val="32"/>
          <w:lang w:val="en-US" w:eastAsia="zh-CN"/>
        </w:rPr>
        <w:t>1</w:t>
      </w:r>
      <w:r>
        <w:rPr>
          <w:rFonts w:hint="eastAsia" w:ascii="仿宋_GB2312" w:hAnsi="仿宋_GB2312" w:eastAsia="仿宋_GB2312" w:cs="仿宋_GB2312"/>
          <w:color w:val="FF0000"/>
          <w:sz w:val="32"/>
          <w:szCs w:val="32"/>
        </w:rPr>
        <w:t>日起至新中标单位入场为止</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rPr>
        <w:t>仍由原服务公司按原上一轮标准</w:t>
      </w:r>
      <w:r>
        <w:rPr>
          <w:rFonts w:hint="eastAsia" w:ascii="仿宋_GB2312" w:hAnsi="仿宋_GB2312" w:eastAsia="仿宋_GB2312" w:cs="仿宋_GB2312"/>
          <w:color w:val="FF0000"/>
          <w:sz w:val="32"/>
          <w:szCs w:val="32"/>
          <w:lang w:eastAsia="zh-CN"/>
        </w:rPr>
        <w:t>结合实际</w:t>
      </w:r>
      <w:r>
        <w:rPr>
          <w:rFonts w:hint="eastAsia" w:ascii="仿宋_GB2312" w:hAnsi="仿宋_GB2312" w:eastAsia="仿宋_GB2312" w:cs="仿宋_GB2312"/>
          <w:color w:val="FF0000"/>
          <w:sz w:val="32"/>
          <w:szCs w:val="32"/>
        </w:rPr>
        <w:t>继续服务，实际产生的过渡期服务费用，由中标人一次性支付过渡期费用给过渡期服务单位（服务费用按原上一轮标准</w:t>
      </w:r>
      <w:r>
        <w:rPr>
          <w:rFonts w:hint="eastAsia" w:ascii="仿宋_GB2312" w:hAnsi="仿宋_GB2312" w:eastAsia="仿宋_GB2312" w:cs="仿宋_GB2312"/>
          <w:color w:val="FF0000"/>
          <w:sz w:val="32"/>
          <w:szCs w:val="32"/>
          <w:lang w:eastAsia="zh-CN"/>
        </w:rPr>
        <w:t>的基础上结合实际</w:t>
      </w:r>
      <w:r>
        <w:rPr>
          <w:rFonts w:hint="eastAsia" w:ascii="仿宋_GB2312" w:hAnsi="仿宋_GB2312" w:eastAsia="仿宋_GB2312" w:cs="仿宋_GB2312"/>
          <w:color w:val="FF0000"/>
          <w:sz w:val="32"/>
          <w:szCs w:val="32"/>
        </w:rPr>
        <w:t>结算，最终金额以实际结算为准）</w:t>
      </w:r>
      <w:r>
        <w:rPr>
          <w:rFonts w:hint="eastAsia" w:ascii="仿宋_GB2312" w:hAnsi="仿宋_GB2312" w:eastAsia="仿宋_GB2312" w:cs="仿宋_GB2312"/>
          <w:color w:val="FF0000"/>
          <w:sz w:val="32"/>
          <w:szCs w:val="32"/>
          <w:lang w:eastAsia="zh-CN"/>
        </w:rPr>
        <w:t>，所需经费在本项目新一轮经费预算中列支</w:t>
      </w:r>
      <w:r>
        <w:rPr>
          <w:rFonts w:hint="eastAsia" w:ascii="仿宋_GB2312" w:hAnsi="仿宋_GB2312" w:eastAsia="仿宋_GB2312" w:cs="仿宋_GB2312"/>
          <w:color w:val="FF0000"/>
          <w:sz w:val="32"/>
          <w:szCs w:val="32"/>
        </w:rPr>
        <w:t>。</w:t>
      </w:r>
    </w:p>
    <w:p>
      <w:pPr>
        <w:pStyle w:val="3"/>
        <w:keepNext w:val="0"/>
        <w:keepLines w:val="0"/>
        <w:pageBreakBefore w:val="0"/>
        <w:kinsoku/>
        <w:wordWrap/>
        <w:overflowPunct/>
        <w:topLinePunct w:val="0"/>
        <w:bidi w:val="0"/>
        <w:spacing w:line="560" w:lineRule="exact"/>
        <w:rPr>
          <w:rFonts w:hint="default"/>
          <w:lang w:val="en-US" w:eastAsia="zh-CN"/>
        </w:rPr>
      </w:pPr>
      <w:bookmarkStart w:id="0" w:name="_GoBack"/>
      <w:bookmarkEnd w:id="0"/>
    </w:p>
    <w:sectPr>
      <w:footerReference r:id="rId3" w:type="default"/>
      <w:pgSz w:w="11906" w:h="16838"/>
      <w:pgMar w:top="1984" w:right="1474" w:bottom="141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FC213F"/>
    <w:rsid w:val="00403E99"/>
    <w:rsid w:val="00FD2E01"/>
    <w:rsid w:val="030E78AF"/>
    <w:rsid w:val="037F2081"/>
    <w:rsid w:val="04766D7F"/>
    <w:rsid w:val="04AA1D6E"/>
    <w:rsid w:val="050970EE"/>
    <w:rsid w:val="06FF3E51"/>
    <w:rsid w:val="07C36BEE"/>
    <w:rsid w:val="08DB1DC3"/>
    <w:rsid w:val="0A145310"/>
    <w:rsid w:val="0A4D3A27"/>
    <w:rsid w:val="0AA579D9"/>
    <w:rsid w:val="0BDC33AE"/>
    <w:rsid w:val="0C5879BA"/>
    <w:rsid w:val="0EA31B3D"/>
    <w:rsid w:val="0ED07A66"/>
    <w:rsid w:val="0F193D13"/>
    <w:rsid w:val="0F6658B7"/>
    <w:rsid w:val="0FD82753"/>
    <w:rsid w:val="10917746"/>
    <w:rsid w:val="113B2A33"/>
    <w:rsid w:val="12824CA7"/>
    <w:rsid w:val="13EB2FFB"/>
    <w:rsid w:val="162C6324"/>
    <w:rsid w:val="1646411D"/>
    <w:rsid w:val="17F50DEE"/>
    <w:rsid w:val="1BC03380"/>
    <w:rsid w:val="1DFF61FF"/>
    <w:rsid w:val="1E97204E"/>
    <w:rsid w:val="1EBC1B90"/>
    <w:rsid w:val="1F4F7317"/>
    <w:rsid w:val="206A4A25"/>
    <w:rsid w:val="21284F18"/>
    <w:rsid w:val="220822B5"/>
    <w:rsid w:val="23617624"/>
    <w:rsid w:val="237D4CF8"/>
    <w:rsid w:val="241F0D78"/>
    <w:rsid w:val="243428A4"/>
    <w:rsid w:val="2571444E"/>
    <w:rsid w:val="264905C2"/>
    <w:rsid w:val="26F44879"/>
    <w:rsid w:val="274136AF"/>
    <w:rsid w:val="297811AF"/>
    <w:rsid w:val="2AF02A1B"/>
    <w:rsid w:val="2D22281E"/>
    <w:rsid w:val="318C133B"/>
    <w:rsid w:val="31D13232"/>
    <w:rsid w:val="342009BA"/>
    <w:rsid w:val="34B71409"/>
    <w:rsid w:val="34FE6802"/>
    <w:rsid w:val="35E64EB0"/>
    <w:rsid w:val="362043CD"/>
    <w:rsid w:val="36AC54BF"/>
    <w:rsid w:val="387363F9"/>
    <w:rsid w:val="39126C0A"/>
    <w:rsid w:val="3C36424E"/>
    <w:rsid w:val="3D8F26C9"/>
    <w:rsid w:val="3DFA0E26"/>
    <w:rsid w:val="3EC4372E"/>
    <w:rsid w:val="3FC25EF5"/>
    <w:rsid w:val="427922FB"/>
    <w:rsid w:val="43C672F5"/>
    <w:rsid w:val="44594C21"/>
    <w:rsid w:val="45466C73"/>
    <w:rsid w:val="469F2876"/>
    <w:rsid w:val="473D13EF"/>
    <w:rsid w:val="48735ADC"/>
    <w:rsid w:val="490A60B9"/>
    <w:rsid w:val="4A610C21"/>
    <w:rsid w:val="4A967B43"/>
    <w:rsid w:val="4B160EAB"/>
    <w:rsid w:val="4B7D76BE"/>
    <w:rsid w:val="4DE739D7"/>
    <w:rsid w:val="4EBF1E74"/>
    <w:rsid w:val="4F906DDD"/>
    <w:rsid w:val="51786E62"/>
    <w:rsid w:val="53092100"/>
    <w:rsid w:val="530A1816"/>
    <w:rsid w:val="53E222AC"/>
    <w:rsid w:val="55AE702F"/>
    <w:rsid w:val="562A57DB"/>
    <w:rsid w:val="57745032"/>
    <w:rsid w:val="58AB1B2B"/>
    <w:rsid w:val="59F60896"/>
    <w:rsid w:val="5AE77C17"/>
    <w:rsid w:val="5B2A2A9F"/>
    <w:rsid w:val="5DFB14DD"/>
    <w:rsid w:val="5E554C0F"/>
    <w:rsid w:val="5E8C6AFC"/>
    <w:rsid w:val="600A0B0F"/>
    <w:rsid w:val="626616A6"/>
    <w:rsid w:val="63383F66"/>
    <w:rsid w:val="64245D92"/>
    <w:rsid w:val="645E10CF"/>
    <w:rsid w:val="664106BE"/>
    <w:rsid w:val="679F4EAD"/>
    <w:rsid w:val="68321FD0"/>
    <w:rsid w:val="694D29A7"/>
    <w:rsid w:val="69EE5613"/>
    <w:rsid w:val="6A2F270A"/>
    <w:rsid w:val="6AA41295"/>
    <w:rsid w:val="6B73551C"/>
    <w:rsid w:val="6CC36AA2"/>
    <w:rsid w:val="6D771567"/>
    <w:rsid w:val="6DEC6DF9"/>
    <w:rsid w:val="6FAA1526"/>
    <w:rsid w:val="6FFC213F"/>
    <w:rsid w:val="713135B6"/>
    <w:rsid w:val="71326145"/>
    <w:rsid w:val="75B605F1"/>
    <w:rsid w:val="76956AC2"/>
    <w:rsid w:val="773A1CF0"/>
    <w:rsid w:val="776A6F79"/>
    <w:rsid w:val="79AB376A"/>
    <w:rsid w:val="7B266621"/>
    <w:rsid w:val="7B57012D"/>
    <w:rsid w:val="7BB165ED"/>
    <w:rsid w:val="7C0564F0"/>
    <w:rsid w:val="7F030AD8"/>
    <w:rsid w:val="7F7B4893"/>
    <w:rsid w:val="7FC071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after="120" w:afterLines="0" w:line="240" w:lineRule="auto"/>
      <w:ind w:firstLine="420" w:firstLineChars="100"/>
    </w:pPr>
    <w:rPr>
      <w:szCs w:val="24"/>
    </w:rPr>
  </w:style>
  <w:style w:type="paragraph" w:styleId="3">
    <w:name w:val="Body Text"/>
    <w:basedOn w:val="1"/>
    <w:next w:val="4"/>
    <w:qFormat/>
    <w:uiPriority w:val="0"/>
    <w:pPr>
      <w:spacing w:after="120"/>
    </w:pPr>
  </w:style>
  <w:style w:type="paragraph" w:styleId="4">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6">
    <w:name w:val="Normal Indent"/>
    <w:basedOn w:val="1"/>
    <w:qFormat/>
    <w:uiPriority w:val="0"/>
    <w:pPr>
      <w:ind w:firstLine="420" w:firstLineChars="200"/>
    </w:pPr>
  </w:style>
  <w:style w:type="paragraph" w:styleId="7">
    <w:name w:val="caption"/>
    <w:basedOn w:val="1"/>
    <w:next w:val="1"/>
    <w:qFormat/>
    <w:uiPriority w:val="0"/>
    <w:rPr>
      <w:rFonts w:ascii="Arial" w:hAnsi="Arial" w:eastAsia="黑体" w:cs="Arial"/>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font01"/>
    <w:basedOn w:val="13"/>
    <w:qFormat/>
    <w:uiPriority w:val="0"/>
    <w:rPr>
      <w:rFonts w:ascii="Calibri" w:hAnsi="Calibri" w:cs="Calibri"/>
      <w:color w:val="000000"/>
      <w:sz w:val="21"/>
      <w:szCs w:val="21"/>
      <w:u w:val="none"/>
    </w:rPr>
  </w:style>
  <w:style w:type="table" w:customStyle="1" w:styleId="15">
    <w:name w:val="Table Normal"/>
    <w:semiHidden/>
    <w:unhideWhenUsed/>
    <w:qFormat/>
    <w:uiPriority w:val="0"/>
    <w:rPr>
      <w:rFonts w:ascii="Arial" w:hAnsi="Arial" w:cs="Arial"/>
      <w:snapToGrid w:val="0"/>
      <w:color w:val="000000"/>
      <w:kern w:val="0"/>
      <w:szCs w:val="21"/>
    </w:rPr>
    <w:tblPr>
      <w:tblCellMar>
        <w:top w:w="0" w:type="dxa"/>
        <w:left w:w="0" w:type="dxa"/>
        <w:bottom w:w="0" w:type="dxa"/>
        <w:right w:w="0" w:type="dxa"/>
      </w:tblCellMar>
    </w:tblPr>
  </w:style>
  <w:style w:type="character" w:customStyle="1" w:styleId="16">
    <w:name w:val="fontstyle01"/>
    <w:qFormat/>
    <w:uiPriority w:val="0"/>
    <w:rPr>
      <w:rFonts w:hint="eastAsia" w:ascii="宋体" w:hAnsi="宋体" w:eastAsia="宋体"/>
      <w:color w:val="666666"/>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2020-02-18T07:18:00Z</dcterms:created>
  <dc:creator>Administrator</dc:creator>
  <cp:lastModifiedBy>Administrator</cp:lastModifiedBy>
  <cp:lastPrinted>2023-04-20T02:45:00Z</cp:lastPrinted>
  <dcterms:modified xsi:type="dcterms:W3CDTF">2023-04-20T04:40:44Z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