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60" w:lineRule="exact"/>
        <w:jc w:val="both"/>
        <w:rPr>
          <w:rFonts w:hint="eastAsia" w:ascii="黑体" w:hAnsi="黑体" w:eastAsia="黑体" w:cs="黑体"/>
          <w:color w:val="auto"/>
          <w:sz w:val="32"/>
          <w:szCs w:val="32"/>
          <w:lang w:eastAsia="zh-CN"/>
        </w:rPr>
      </w:pPr>
    </w:p>
    <w:p>
      <w:pPr>
        <w:keepNext w:val="0"/>
        <w:keepLines w:val="0"/>
        <w:pageBreakBefore w:val="0"/>
        <w:kinsoku/>
        <w:wordWrap/>
        <w:overflowPunct/>
        <w:topLinePunct w:val="0"/>
        <w:bidi w:val="0"/>
        <w:spacing w:line="560" w:lineRule="exact"/>
        <w:jc w:val="both"/>
        <w:rPr>
          <w:rFonts w:hint="eastAsia" w:ascii="黑体" w:hAnsi="黑体" w:eastAsia="黑体" w:cs="黑体"/>
          <w:color w:val="auto"/>
          <w:sz w:val="32"/>
          <w:szCs w:val="32"/>
          <w:lang w:eastAsia="zh-CN"/>
        </w:rPr>
      </w:pPr>
    </w:p>
    <w:p>
      <w:pPr>
        <w:keepNext w:val="0"/>
        <w:keepLines w:val="0"/>
        <w:pageBreakBefore w:val="0"/>
        <w:kinsoku/>
        <w:wordWrap/>
        <w:overflowPunct/>
        <w:topLinePunct w:val="0"/>
        <w:bidi w:val="0"/>
        <w:spacing w:line="560" w:lineRule="exact"/>
        <w:jc w:val="both"/>
        <w:rPr>
          <w:rFonts w:hint="eastAsia" w:ascii="黑体" w:hAnsi="黑体" w:eastAsia="黑体" w:cs="黑体"/>
          <w:color w:val="auto"/>
          <w:sz w:val="32"/>
          <w:szCs w:val="32"/>
          <w:lang w:val="en-US" w:eastAsia="zh-CN"/>
        </w:rPr>
      </w:pPr>
      <w:bookmarkStart w:id="0" w:name="_GoBack"/>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2</w:t>
      </w:r>
    </w:p>
    <w:bookmarkEnd w:id="0"/>
    <w:p>
      <w:pPr>
        <w:keepNext w:val="0"/>
        <w:keepLines w:val="0"/>
        <w:pageBreakBefore w:val="0"/>
        <w:kinsoku/>
        <w:wordWrap/>
        <w:overflowPunct/>
        <w:topLinePunct w:val="0"/>
        <w:bidi w:val="0"/>
        <w:spacing w:line="560" w:lineRule="exact"/>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000000"/>
          <w:kern w:val="2"/>
          <w:sz w:val="44"/>
          <w:szCs w:val="44"/>
          <w:lang w:val="en-US" w:eastAsia="zh-CN" w:bidi="ar-SA"/>
        </w:rPr>
        <w:t>评审表</w:t>
      </w:r>
    </w:p>
    <w:tbl>
      <w:tblPr>
        <w:tblStyle w:val="11"/>
        <w:tblW w:w="111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523"/>
        <w:gridCol w:w="1343"/>
        <w:gridCol w:w="585"/>
        <w:gridCol w:w="7589"/>
        <w:gridCol w:w="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1"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both"/>
              <w:rPr>
                <w:rFonts w:hint="eastAsia" w:ascii="宋体" w:hAnsi="宋体" w:eastAsia="宋体" w:cs="宋体"/>
                <w:b/>
                <w:bCs/>
                <w:sz w:val="24"/>
                <w:lang w:eastAsia="zh-CN"/>
              </w:rPr>
            </w:pPr>
            <w:r>
              <w:rPr>
                <w:rFonts w:hint="eastAsia" w:ascii="宋体" w:hAnsi="宋体" w:cs="宋体"/>
                <w:b/>
                <w:bCs/>
                <w:sz w:val="24"/>
                <w:lang w:eastAsia="zh-CN"/>
              </w:rPr>
              <w:t>序号</w:t>
            </w:r>
          </w:p>
        </w:tc>
        <w:tc>
          <w:tcPr>
            <w:tcW w:w="1866"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center"/>
              <w:rPr>
                <w:rFonts w:hint="eastAsia" w:ascii="宋体" w:hAnsi="宋体" w:eastAsia="宋体" w:cs="宋体"/>
                <w:b/>
                <w:bCs/>
                <w:sz w:val="24"/>
                <w:lang w:val="en-GB" w:eastAsia="zh-CN"/>
              </w:rPr>
            </w:pPr>
            <w:r>
              <w:rPr>
                <w:rFonts w:hint="eastAsia" w:ascii="宋体" w:hAnsi="宋体" w:cs="宋体"/>
                <w:b/>
                <w:bCs/>
                <w:sz w:val="24"/>
                <w:lang w:val="en-GB" w:eastAsia="zh-CN"/>
              </w:rPr>
              <w:t>项目</w:t>
            </w:r>
          </w:p>
        </w:tc>
        <w:tc>
          <w:tcPr>
            <w:tcW w:w="58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cs="宋体"/>
                <w:b/>
                <w:bCs/>
                <w:sz w:val="24"/>
                <w:lang w:val="en-GB"/>
              </w:rPr>
            </w:pPr>
            <w:r>
              <w:rPr>
                <w:rFonts w:hint="eastAsia" w:ascii="宋体" w:hAnsi="宋体" w:cs="宋体"/>
                <w:b/>
                <w:bCs/>
                <w:sz w:val="24"/>
              </w:rPr>
              <w:t>分值</w:t>
            </w:r>
          </w:p>
        </w:tc>
        <w:tc>
          <w:tcPr>
            <w:tcW w:w="7589"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center"/>
              <w:rPr>
                <w:rFonts w:hint="eastAsia" w:ascii="宋体" w:hAnsi="宋体" w:eastAsia="宋体" w:cs="宋体"/>
                <w:b/>
                <w:bCs/>
                <w:sz w:val="24"/>
                <w:lang w:val="en-GB" w:eastAsia="zh-CN"/>
              </w:rPr>
            </w:pPr>
            <w:r>
              <w:rPr>
                <w:rFonts w:hint="eastAsia" w:ascii="宋体" w:hAnsi="宋体" w:cs="宋体"/>
                <w:b/>
                <w:bCs/>
                <w:sz w:val="24"/>
              </w:rPr>
              <w:t>评分</w:t>
            </w:r>
            <w:r>
              <w:rPr>
                <w:rFonts w:hint="eastAsia" w:ascii="宋体" w:hAnsi="宋体" w:cs="宋体"/>
                <w:b/>
                <w:bCs/>
                <w:sz w:val="24"/>
                <w:lang w:eastAsia="zh-CN"/>
              </w:rPr>
              <w:t>标准（审查内容）</w:t>
            </w:r>
          </w:p>
        </w:tc>
        <w:tc>
          <w:tcPr>
            <w:tcW w:w="50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宋体" w:hAnsi="宋体" w:eastAsia="宋体" w:cs="宋体"/>
                <w:b/>
                <w:bCs/>
                <w:sz w:val="24"/>
                <w:lang w:eastAsia="zh-CN"/>
              </w:rPr>
            </w:pPr>
            <w:r>
              <w:rPr>
                <w:rFonts w:hint="eastAsia" w:ascii="宋体" w:hAnsi="宋体" w:cs="宋体"/>
                <w:b/>
                <w:bCs/>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581" w:type="dxa"/>
            <w:vMerge w:val="restart"/>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center"/>
              <w:rPr>
                <w:rFonts w:hint="eastAsia" w:ascii="宋体" w:hAnsi="宋体" w:eastAsia="宋体" w:cs="宋体"/>
                <w:b w:val="0"/>
                <w:bCs w:val="0"/>
                <w:sz w:val="24"/>
                <w:lang w:val="en-US" w:eastAsia="zh-CN"/>
              </w:rPr>
            </w:pPr>
            <w:r>
              <w:rPr>
                <w:rFonts w:hint="eastAsia" w:ascii="宋体" w:hAnsi="宋体" w:cs="宋体"/>
                <w:b w:val="0"/>
                <w:bCs w:val="0"/>
                <w:sz w:val="24"/>
                <w:lang w:val="en-US" w:eastAsia="zh-CN"/>
              </w:rPr>
              <w:t>1</w:t>
            </w:r>
          </w:p>
        </w:tc>
        <w:tc>
          <w:tcPr>
            <w:tcW w:w="1866" w:type="dxa"/>
            <w:gridSpan w:val="2"/>
            <w:vMerge w:val="restart"/>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center"/>
              <w:rPr>
                <w:rFonts w:hint="eastAsia" w:ascii="宋体" w:hAnsi="宋体" w:cs="宋体"/>
                <w:b w:val="0"/>
                <w:bCs w:val="0"/>
                <w:sz w:val="24"/>
              </w:rPr>
            </w:pPr>
            <w:r>
              <w:rPr>
                <w:rFonts w:hint="eastAsia" w:ascii="宋体" w:hAnsi="宋体" w:cs="宋体"/>
                <w:b w:val="0"/>
                <w:bCs w:val="0"/>
                <w:sz w:val="24"/>
              </w:rPr>
              <w:t>资格审查</w:t>
            </w:r>
          </w:p>
        </w:tc>
        <w:tc>
          <w:tcPr>
            <w:tcW w:w="585" w:type="dxa"/>
            <w:vMerge w:val="restart"/>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24"/>
                <w:lang w:val="en-US" w:eastAsia="zh-CN"/>
              </w:rPr>
            </w:pPr>
            <w:r>
              <w:rPr>
                <w:rFonts w:hint="eastAsia" w:ascii="宋体" w:hAnsi="宋体" w:cs="宋体"/>
                <w:b/>
                <w:bCs/>
                <w:sz w:val="24"/>
                <w:lang w:val="en-US" w:eastAsia="zh-CN"/>
              </w:rPr>
              <w:t>-</w:t>
            </w:r>
          </w:p>
        </w:tc>
        <w:tc>
          <w:tcPr>
            <w:tcW w:w="7589"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Times New Roman"/>
                <w:sz w:val="24"/>
              </w:rPr>
            </w:pPr>
            <w:r>
              <w:rPr>
                <w:rFonts w:hint="eastAsia" w:ascii="宋体" w:hAnsi="宋体" w:eastAsia="宋体" w:cs="Times New Roman"/>
                <w:sz w:val="24"/>
              </w:rPr>
              <w:t>报价最高不得超出预算金额</w:t>
            </w:r>
            <w:r>
              <w:rPr>
                <w:rFonts w:hint="eastAsia" w:ascii="宋体" w:hAnsi="宋体" w:eastAsia="宋体" w:cs="Times New Roman"/>
                <w:sz w:val="24"/>
                <w:lang w:eastAsia="zh-CN"/>
              </w:rPr>
              <w:t>，</w:t>
            </w:r>
            <w:r>
              <w:rPr>
                <w:rFonts w:hint="eastAsia" w:ascii="宋体" w:hAnsi="宋体" w:eastAsia="宋体" w:cs="Times New Roman"/>
                <w:sz w:val="24"/>
              </w:rPr>
              <w:t>符合的为通过，不符合的不通过</w:t>
            </w:r>
          </w:p>
        </w:tc>
        <w:tc>
          <w:tcPr>
            <w:tcW w:w="50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widowControl/>
              <w:suppressLineNumbers w:val="0"/>
              <w:kinsoku/>
              <w:wordWrap/>
              <w:overflowPunct/>
              <w:topLinePunct w:val="0"/>
              <w:bidi w:val="0"/>
              <w:spacing w:line="560" w:lineRule="exact"/>
              <w:jc w:val="left"/>
              <w:textAlignment w:val="center"/>
              <w:rPr>
                <w:rFonts w:hint="eastAsia"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581" w:type="dxa"/>
            <w:vMerge w:val="continue"/>
            <w:tcBorders>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center"/>
              <w:rPr>
                <w:rFonts w:hint="eastAsia" w:ascii="宋体" w:hAnsi="宋体" w:cs="宋体"/>
                <w:b w:val="0"/>
                <w:bCs w:val="0"/>
                <w:sz w:val="24"/>
              </w:rPr>
            </w:pPr>
          </w:p>
        </w:tc>
        <w:tc>
          <w:tcPr>
            <w:tcW w:w="1866" w:type="dxa"/>
            <w:gridSpan w:val="2"/>
            <w:vMerge w:val="continue"/>
            <w:tcBorders>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center"/>
              <w:rPr>
                <w:rFonts w:hint="eastAsia" w:ascii="宋体" w:hAnsi="宋体" w:cs="宋体"/>
                <w:b w:val="0"/>
                <w:bCs w:val="0"/>
                <w:sz w:val="24"/>
              </w:rPr>
            </w:pPr>
          </w:p>
        </w:tc>
        <w:tc>
          <w:tcPr>
            <w:tcW w:w="585" w:type="dxa"/>
            <w:vMerge w:val="continue"/>
            <w:tcBorders>
              <w:left w:val="single" w:color="000000" w:sz="8" w:space="0"/>
              <w:bottom w:val="single" w:color="000000" w:sz="8" w:space="0"/>
              <w:right w:val="single" w:color="000000"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cs="宋体"/>
                <w:b/>
                <w:bCs/>
                <w:sz w:val="24"/>
              </w:rPr>
            </w:pPr>
          </w:p>
        </w:tc>
        <w:tc>
          <w:tcPr>
            <w:tcW w:w="7589"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Times New Roman"/>
                <w:sz w:val="24"/>
                <w:lang w:eastAsia="zh-CN"/>
              </w:rPr>
            </w:pPr>
            <w:r>
              <w:rPr>
                <w:rStyle w:val="16"/>
                <w:rFonts w:hint="eastAsia"/>
                <w:color w:val="auto"/>
                <w:sz w:val="24"/>
                <w:szCs w:val="24"/>
                <w:lang w:eastAsia="zh-CN"/>
              </w:rPr>
              <w:t>供应商</w:t>
            </w:r>
            <w:r>
              <w:rPr>
                <w:rStyle w:val="16"/>
                <w:rFonts w:hint="eastAsia"/>
                <w:color w:val="auto"/>
                <w:sz w:val="24"/>
                <w:szCs w:val="24"/>
                <w:lang w:val="en-US" w:eastAsia="zh-CN"/>
              </w:rPr>
              <w:t>提供营业执照复印件（加盖单位公章）、相关资质复印件（加盖单位公章）</w:t>
            </w:r>
            <w:r>
              <w:rPr>
                <w:rStyle w:val="16"/>
                <w:rFonts w:hint="eastAsia"/>
                <w:color w:val="auto"/>
                <w:sz w:val="24"/>
                <w:szCs w:val="24"/>
              </w:rPr>
              <w:t>符合的为通过，不符合的不通过</w:t>
            </w:r>
          </w:p>
        </w:tc>
        <w:tc>
          <w:tcPr>
            <w:tcW w:w="50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widowControl/>
              <w:suppressLineNumbers w:val="0"/>
              <w:kinsoku/>
              <w:wordWrap/>
              <w:overflowPunct/>
              <w:topLinePunct w:val="0"/>
              <w:bidi w:val="0"/>
              <w:spacing w:line="560" w:lineRule="exact"/>
              <w:jc w:val="left"/>
              <w:textAlignment w:val="center"/>
              <w:rPr>
                <w:rFonts w:hint="eastAsia" w:ascii="宋体" w:hAnsi="宋体" w:cs="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581" w:type="dxa"/>
            <w:vMerge w:val="restart"/>
            <w:tcBorders>
              <w:left w:val="single" w:color="000000" w:sz="8" w:space="0"/>
            </w:tcBorders>
            <w:shd w:val="clear" w:color="auto" w:fill="FFFFFF"/>
            <w:vAlign w:val="center"/>
          </w:tcPr>
          <w:p>
            <w:pPr>
              <w:pStyle w:val="7"/>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523" w:type="dxa"/>
            <w:vMerge w:val="restart"/>
            <w:tcBorders>
              <w:left w:val="single" w:color="000000" w:sz="8" w:space="0"/>
            </w:tcBorders>
            <w:shd w:val="clear" w:color="auto" w:fill="FFFFFF"/>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24"/>
                <w:szCs w:val="24"/>
                <w:lang w:val="en-GB" w:eastAsia="zh-CN"/>
              </w:rPr>
            </w:pPr>
            <w:r>
              <w:rPr>
                <w:rFonts w:hint="eastAsia" w:ascii="宋体" w:hAnsi="宋体" w:eastAsia="宋体" w:cs="宋体"/>
                <w:sz w:val="24"/>
                <w:szCs w:val="24"/>
                <w:lang w:val="en-GB"/>
              </w:rPr>
              <w:t>技术</w:t>
            </w:r>
            <w:r>
              <w:rPr>
                <w:rFonts w:hint="eastAsia" w:ascii="宋体" w:hAnsi="宋体" w:eastAsia="宋体" w:cs="宋体"/>
                <w:sz w:val="24"/>
                <w:szCs w:val="24"/>
                <w:lang w:val="en-GB" w:eastAsia="zh-CN"/>
              </w:rPr>
              <w:t>方案</w:t>
            </w:r>
          </w:p>
        </w:tc>
        <w:tc>
          <w:tcPr>
            <w:tcW w:w="1343" w:type="dxa"/>
            <w:tcBorders>
              <w:top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val="0"/>
              <w:autoSpaceDN w:val="0"/>
              <w:bidi w:val="0"/>
              <w:adjustRightInd w:val="0"/>
              <w:spacing w:line="560" w:lineRule="exact"/>
              <w:jc w:val="center"/>
              <w:rPr>
                <w:rFonts w:ascii="宋体" w:hAnsi="宋体" w:cs="宋体"/>
                <w:kern w:val="0"/>
                <w:sz w:val="24"/>
                <w:szCs w:val="24"/>
              </w:rPr>
            </w:pPr>
            <w:r>
              <w:rPr>
                <w:rFonts w:hint="eastAsia" w:ascii="宋体" w:hAnsi="宋体" w:cs="宋体"/>
                <w:kern w:val="0"/>
                <w:sz w:val="24"/>
                <w:szCs w:val="24"/>
              </w:rPr>
              <w:t>环境保洁服务方案</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eastAsiaTheme="minorEastAsia"/>
                <w:sz w:val="24"/>
                <w:lang w:eastAsia="zh-CN"/>
              </w:rPr>
            </w:pPr>
          </w:p>
        </w:tc>
        <w:tc>
          <w:tcPr>
            <w:tcW w:w="585"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cs="宋体" w:eastAsiaTheme="minorEastAsia"/>
                <w:sz w:val="24"/>
                <w:lang w:val="en-US" w:eastAsia="zh-CN"/>
              </w:rPr>
            </w:pPr>
            <w:r>
              <w:rPr>
                <w:rFonts w:hint="eastAsia" w:ascii="宋体" w:hAnsi="宋体" w:cs="宋体"/>
                <w:sz w:val="24"/>
                <w:lang w:val="en-US" w:eastAsia="zh-CN"/>
              </w:rPr>
              <w:t>10</w:t>
            </w:r>
          </w:p>
        </w:tc>
        <w:tc>
          <w:tcPr>
            <w:tcW w:w="7589"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24"/>
                <w:lang w:eastAsia="zh-CN"/>
              </w:rPr>
            </w:pPr>
            <w:r>
              <w:rPr>
                <w:rStyle w:val="16"/>
                <w:rFonts w:hint="default"/>
                <w:color w:val="auto"/>
                <w:sz w:val="24"/>
                <w:szCs w:val="24"/>
              </w:rPr>
              <w:t>对投标人本项目楼内保洁、高位清洁、室外保洁、垃圾分类收集与处理等环境保洁服务方案的合理性、完整性进行评价。方案完整合理，可操作性强，完全满足且优于项目要求的得</w:t>
            </w:r>
            <w:r>
              <w:rPr>
                <w:rStyle w:val="16"/>
                <w:rFonts w:hint="eastAsia" w:eastAsia="宋体"/>
                <w:color w:val="FF0000"/>
                <w:sz w:val="24"/>
                <w:szCs w:val="24"/>
                <w:lang w:val="en-US" w:eastAsia="zh-CN"/>
              </w:rPr>
              <w:t>10</w:t>
            </w:r>
            <w:r>
              <w:rPr>
                <w:rStyle w:val="16"/>
                <w:rFonts w:hint="default"/>
                <w:color w:val="FF0000"/>
                <w:sz w:val="24"/>
                <w:szCs w:val="24"/>
              </w:rPr>
              <w:t>分</w:t>
            </w:r>
            <w:r>
              <w:rPr>
                <w:rStyle w:val="16"/>
                <w:rFonts w:hint="default"/>
                <w:color w:val="auto"/>
                <w:sz w:val="24"/>
                <w:szCs w:val="24"/>
              </w:rPr>
              <w:t>；方案较完整合理，可操作性较强，完全满足项目要求的得</w:t>
            </w:r>
            <w:r>
              <w:rPr>
                <w:rStyle w:val="16"/>
                <w:rFonts w:hint="eastAsia"/>
                <w:color w:val="FF0000"/>
                <w:sz w:val="24"/>
                <w:szCs w:val="24"/>
                <w:lang w:val="en-US" w:eastAsia="zh-CN"/>
              </w:rPr>
              <w:t>7</w:t>
            </w:r>
            <w:r>
              <w:rPr>
                <w:rStyle w:val="16"/>
                <w:rFonts w:hint="default"/>
                <w:color w:val="FF0000"/>
                <w:sz w:val="24"/>
                <w:szCs w:val="24"/>
              </w:rPr>
              <w:t>分</w:t>
            </w:r>
            <w:r>
              <w:rPr>
                <w:rStyle w:val="16"/>
                <w:rFonts w:hint="default"/>
                <w:color w:val="auto"/>
                <w:sz w:val="24"/>
                <w:szCs w:val="24"/>
              </w:rPr>
              <w:t>；方案不够完整合理，可操作性一般，不能完全满足的得</w:t>
            </w:r>
            <w:r>
              <w:rPr>
                <w:rStyle w:val="16"/>
                <w:rFonts w:hint="eastAsia"/>
                <w:color w:val="FF0000"/>
                <w:sz w:val="24"/>
                <w:szCs w:val="24"/>
                <w:lang w:val="en-US" w:eastAsia="zh-CN"/>
              </w:rPr>
              <w:t>4</w:t>
            </w:r>
            <w:r>
              <w:rPr>
                <w:rStyle w:val="16"/>
                <w:rFonts w:hint="default"/>
                <w:color w:val="FF0000"/>
                <w:sz w:val="24"/>
                <w:szCs w:val="24"/>
              </w:rPr>
              <w:t>分</w:t>
            </w:r>
            <w:r>
              <w:rPr>
                <w:rStyle w:val="16"/>
                <w:rFonts w:hint="default"/>
                <w:color w:val="auto"/>
                <w:sz w:val="24"/>
                <w:szCs w:val="24"/>
              </w:rPr>
              <w:t>；未提供方案得 0 分。</w:t>
            </w:r>
          </w:p>
        </w:tc>
        <w:tc>
          <w:tcPr>
            <w:tcW w:w="508"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581" w:type="dxa"/>
            <w:vMerge w:val="continue"/>
            <w:tcBorders>
              <w:left w:val="single" w:color="000000" w:sz="8" w:space="0"/>
            </w:tcBorders>
            <w:shd w:val="clear" w:color="auto" w:fill="FFFFFF"/>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24"/>
                <w:szCs w:val="24"/>
                <w:lang w:val="en-GB"/>
              </w:rPr>
            </w:pPr>
          </w:p>
        </w:tc>
        <w:tc>
          <w:tcPr>
            <w:tcW w:w="523" w:type="dxa"/>
            <w:vMerge w:val="continue"/>
            <w:tcBorders>
              <w:left w:val="single" w:color="000000" w:sz="8" w:space="0"/>
            </w:tcBorders>
            <w:shd w:val="clear" w:color="auto" w:fill="FFFFFF"/>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24"/>
                <w:szCs w:val="24"/>
                <w:lang w:val="en-GB"/>
              </w:rPr>
            </w:pPr>
          </w:p>
        </w:tc>
        <w:tc>
          <w:tcPr>
            <w:tcW w:w="1343" w:type="dxa"/>
            <w:tcBorders>
              <w:top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val="0"/>
              <w:autoSpaceDN w:val="0"/>
              <w:bidi w:val="0"/>
              <w:adjustRightInd w:val="0"/>
              <w:spacing w:line="560" w:lineRule="exact"/>
              <w:jc w:val="center"/>
              <w:rPr>
                <w:rFonts w:ascii="宋体" w:hAnsi="宋体" w:cs="宋体"/>
                <w:kern w:val="0"/>
                <w:sz w:val="24"/>
                <w:szCs w:val="24"/>
              </w:rPr>
            </w:pPr>
            <w:r>
              <w:rPr>
                <w:rFonts w:hint="eastAsia" w:ascii="宋体" w:hAnsi="宋体" w:cs="宋体"/>
                <w:kern w:val="0"/>
                <w:sz w:val="24"/>
                <w:szCs w:val="24"/>
              </w:rPr>
              <w:t>安保秩序</w:t>
            </w:r>
          </w:p>
          <w:p>
            <w:pPr>
              <w:keepNext w:val="0"/>
              <w:keepLines w:val="0"/>
              <w:pageBreakBefore w:val="0"/>
              <w:kinsoku/>
              <w:wordWrap/>
              <w:overflowPunct/>
              <w:topLinePunct w:val="0"/>
              <w:autoSpaceDE w:val="0"/>
              <w:autoSpaceDN w:val="0"/>
              <w:bidi w:val="0"/>
              <w:adjustRightInd w:val="0"/>
              <w:spacing w:line="560" w:lineRule="exact"/>
              <w:jc w:val="center"/>
              <w:rPr>
                <w:rFonts w:ascii="宋体" w:hAnsi="宋体" w:cs="宋体"/>
                <w:kern w:val="0"/>
                <w:sz w:val="24"/>
                <w:szCs w:val="24"/>
              </w:rPr>
            </w:pPr>
            <w:r>
              <w:rPr>
                <w:rFonts w:hint="eastAsia" w:ascii="宋体" w:hAnsi="宋体" w:cs="宋体"/>
                <w:kern w:val="0"/>
                <w:sz w:val="24"/>
                <w:szCs w:val="24"/>
              </w:rPr>
              <w:t>维护方案</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sz w:val="24"/>
              </w:rPr>
            </w:pPr>
          </w:p>
        </w:tc>
        <w:tc>
          <w:tcPr>
            <w:tcW w:w="585"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cs="宋体" w:eastAsiaTheme="minorEastAsia"/>
                <w:sz w:val="24"/>
                <w:lang w:val="en-US" w:eastAsia="zh-CN"/>
              </w:rPr>
            </w:pPr>
            <w:r>
              <w:rPr>
                <w:rFonts w:hint="eastAsia" w:ascii="宋体" w:hAnsi="宋体" w:cs="宋体"/>
                <w:sz w:val="24"/>
                <w:lang w:val="en-US" w:eastAsia="zh-CN"/>
              </w:rPr>
              <w:t>10</w:t>
            </w:r>
          </w:p>
        </w:tc>
        <w:tc>
          <w:tcPr>
            <w:tcW w:w="7589"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cs="宋体"/>
                <w:sz w:val="24"/>
              </w:rPr>
            </w:pPr>
            <w:r>
              <w:rPr>
                <w:rStyle w:val="16"/>
                <w:rFonts w:hint="default"/>
                <w:color w:val="auto"/>
                <w:sz w:val="24"/>
                <w:szCs w:val="24"/>
              </w:rPr>
              <w:t>对投标人岗位值班值守、安全巡查、交通秩序维护、重要会议及重大活动秩序维护等安保秩序维护工作方案的合理性、完整性进行评价。方案完整合理，可操作性强，完全满足且优于项目要求的得</w:t>
            </w:r>
            <w:r>
              <w:rPr>
                <w:rStyle w:val="16"/>
                <w:rFonts w:hint="default"/>
                <w:color w:val="FF0000"/>
                <w:sz w:val="24"/>
                <w:szCs w:val="24"/>
              </w:rPr>
              <w:t xml:space="preserve"> </w:t>
            </w:r>
            <w:r>
              <w:rPr>
                <w:rStyle w:val="16"/>
                <w:rFonts w:hint="eastAsia" w:eastAsia="宋体"/>
                <w:color w:val="FF0000"/>
                <w:sz w:val="24"/>
                <w:szCs w:val="24"/>
                <w:lang w:val="en-US" w:eastAsia="zh-CN"/>
              </w:rPr>
              <w:t>10</w:t>
            </w:r>
            <w:r>
              <w:rPr>
                <w:rStyle w:val="16"/>
                <w:rFonts w:hint="default"/>
                <w:color w:val="FF0000"/>
                <w:sz w:val="24"/>
                <w:szCs w:val="24"/>
              </w:rPr>
              <w:t>分</w:t>
            </w:r>
            <w:r>
              <w:rPr>
                <w:rStyle w:val="16"/>
                <w:rFonts w:hint="default"/>
                <w:color w:val="auto"/>
                <w:sz w:val="24"/>
                <w:szCs w:val="24"/>
              </w:rPr>
              <w:t>；方案较完整合理，可操作性较强，完全满足项目要求的得</w:t>
            </w:r>
            <w:r>
              <w:rPr>
                <w:rStyle w:val="16"/>
                <w:rFonts w:hint="default"/>
                <w:color w:val="FF0000"/>
                <w:sz w:val="24"/>
                <w:szCs w:val="24"/>
              </w:rPr>
              <w:t xml:space="preserve"> </w:t>
            </w:r>
            <w:r>
              <w:rPr>
                <w:rStyle w:val="16"/>
                <w:rFonts w:hint="eastAsia"/>
                <w:color w:val="FF0000"/>
                <w:sz w:val="24"/>
                <w:szCs w:val="24"/>
                <w:lang w:val="en-US" w:eastAsia="zh-CN"/>
              </w:rPr>
              <w:t>7</w:t>
            </w:r>
            <w:r>
              <w:rPr>
                <w:rStyle w:val="16"/>
                <w:rFonts w:hint="default"/>
                <w:color w:val="FF0000"/>
                <w:sz w:val="24"/>
                <w:szCs w:val="24"/>
              </w:rPr>
              <w:t>分</w:t>
            </w:r>
            <w:r>
              <w:rPr>
                <w:rStyle w:val="16"/>
                <w:rFonts w:hint="default"/>
                <w:color w:val="auto"/>
                <w:sz w:val="24"/>
                <w:szCs w:val="24"/>
              </w:rPr>
              <w:t>；方案不够完整合理，可操作性一般，不能完全满足的得</w:t>
            </w:r>
            <w:r>
              <w:rPr>
                <w:rStyle w:val="16"/>
                <w:rFonts w:hint="default"/>
                <w:color w:val="FF0000"/>
                <w:sz w:val="24"/>
                <w:szCs w:val="24"/>
              </w:rPr>
              <w:t xml:space="preserve"> </w:t>
            </w:r>
            <w:r>
              <w:rPr>
                <w:rStyle w:val="16"/>
                <w:rFonts w:hint="eastAsia" w:eastAsia="宋体"/>
                <w:color w:val="FF0000"/>
                <w:sz w:val="24"/>
                <w:szCs w:val="24"/>
                <w:lang w:val="en-US" w:eastAsia="zh-CN"/>
              </w:rPr>
              <w:t>4</w:t>
            </w:r>
            <w:r>
              <w:rPr>
                <w:rStyle w:val="16"/>
                <w:rFonts w:hint="default"/>
                <w:color w:val="FF0000"/>
                <w:sz w:val="24"/>
                <w:szCs w:val="24"/>
              </w:rPr>
              <w:t>分；</w:t>
            </w:r>
            <w:r>
              <w:rPr>
                <w:rStyle w:val="16"/>
                <w:rFonts w:hint="default"/>
                <w:color w:val="auto"/>
                <w:sz w:val="24"/>
                <w:szCs w:val="24"/>
              </w:rPr>
              <w:t>未提供方案得 0 分。</w:t>
            </w:r>
          </w:p>
        </w:tc>
        <w:tc>
          <w:tcPr>
            <w:tcW w:w="508"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81" w:type="dxa"/>
            <w:vMerge w:val="continue"/>
            <w:tcBorders>
              <w:left w:val="single" w:color="000000" w:sz="8" w:space="0"/>
            </w:tcBorders>
            <w:shd w:val="clear" w:color="auto" w:fill="FFFFFF"/>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24"/>
                <w:szCs w:val="24"/>
                <w:lang w:val="en-GB"/>
              </w:rPr>
            </w:pPr>
          </w:p>
        </w:tc>
        <w:tc>
          <w:tcPr>
            <w:tcW w:w="523" w:type="dxa"/>
            <w:vMerge w:val="continue"/>
            <w:tcBorders>
              <w:left w:val="single" w:color="000000" w:sz="8" w:space="0"/>
            </w:tcBorders>
            <w:shd w:val="clear" w:color="auto" w:fill="FFFFFF"/>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24"/>
                <w:szCs w:val="24"/>
                <w:lang w:val="en-GB"/>
              </w:rPr>
            </w:pPr>
          </w:p>
        </w:tc>
        <w:tc>
          <w:tcPr>
            <w:tcW w:w="1343" w:type="dxa"/>
            <w:tcBorders>
              <w:top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val="0"/>
              <w:autoSpaceDN w:val="0"/>
              <w:bidi w:val="0"/>
              <w:adjustRightInd w:val="0"/>
              <w:spacing w:line="560" w:lineRule="exact"/>
              <w:jc w:val="center"/>
              <w:rPr>
                <w:rFonts w:ascii="宋体" w:hAnsi="宋体" w:cs="宋体"/>
                <w:kern w:val="0"/>
                <w:sz w:val="24"/>
                <w:szCs w:val="24"/>
              </w:rPr>
            </w:pPr>
            <w:r>
              <w:rPr>
                <w:rFonts w:hint="eastAsia" w:ascii="宋体" w:hAnsi="宋体" w:cs="宋体"/>
                <w:kern w:val="0"/>
                <w:sz w:val="24"/>
                <w:szCs w:val="24"/>
              </w:rPr>
              <w:t>配套设施设备维修服务方案</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sz w:val="24"/>
              </w:rPr>
            </w:pPr>
          </w:p>
        </w:tc>
        <w:tc>
          <w:tcPr>
            <w:tcW w:w="585"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cs="宋体" w:eastAsiaTheme="minorEastAsia"/>
                <w:sz w:val="24"/>
                <w:lang w:val="en-US" w:eastAsia="zh-CN"/>
              </w:rPr>
            </w:pPr>
            <w:r>
              <w:rPr>
                <w:rFonts w:hint="eastAsia" w:ascii="宋体" w:hAnsi="宋体" w:cs="宋体"/>
                <w:sz w:val="24"/>
                <w:lang w:val="en-US" w:eastAsia="zh-CN"/>
              </w:rPr>
              <w:t>10</w:t>
            </w:r>
          </w:p>
        </w:tc>
        <w:tc>
          <w:tcPr>
            <w:tcW w:w="7589"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cs="宋体"/>
                <w:sz w:val="24"/>
              </w:rPr>
            </w:pPr>
            <w:r>
              <w:rPr>
                <w:rStyle w:val="16"/>
                <w:rFonts w:hint="default"/>
                <w:color w:val="auto"/>
                <w:sz w:val="24"/>
                <w:szCs w:val="24"/>
              </w:rPr>
              <w:t>对投标人本项目配套设施设备运行管理和维修养护，包括高低压配电系统、给排水系统、弱电系统、消防系统、防雷系统、中央空调系统、楼宇自控系统等服务方案的合理性、完整性进行评价。方案完整合理，可操作性强，完全满足且优于项目要求的得</w:t>
            </w:r>
            <w:r>
              <w:rPr>
                <w:rStyle w:val="16"/>
                <w:rFonts w:hint="default"/>
                <w:color w:val="FF0000"/>
                <w:sz w:val="24"/>
                <w:szCs w:val="24"/>
              </w:rPr>
              <w:t xml:space="preserve"> </w:t>
            </w:r>
            <w:r>
              <w:rPr>
                <w:rStyle w:val="16"/>
                <w:rFonts w:hint="eastAsia" w:eastAsia="宋体"/>
                <w:color w:val="FF0000"/>
                <w:sz w:val="24"/>
                <w:szCs w:val="24"/>
                <w:lang w:val="en-US" w:eastAsia="zh-CN"/>
              </w:rPr>
              <w:t>10</w:t>
            </w:r>
            <w:r>
              <w:rPr>
                <w:rStyle w:val="16"/>
                <w:rFonts w:hint="default"/>
                <w:color w:val="FF0000"/>
                <w:sz w:val="24"/>
                <w:szCs w:val="24"/>
              </w:rPr>
              <w:t>分</w:t>
            </w:r>
            <w:r>
              <w:rPr>
                <w:rStyle w:val="16"/>
                <w:rFonts w:hint="default"/>
                <w:color w:val="auto"/>
                <w:sz w:val="24"/>
                <w:szCs w:val="24"/>
              </w:rPr>
              <w:t>；方案较完整合理，可操作性较强，完全满足项目要求的得</w:t>
            </w:r>
            <w:r>
              <w:rPr>
                <w:rStyle w:val="16"/>
                <w:rFonts w:hint="eastAsia"/>
                <w:color w:val="FF0000"/>
                <w:sz w:val="24"/>
                <w:szCs w:val="24"/>
                <w:lang w:val="en-US" w:eastAsia="zh-CN"/>
              </w:rPr>
              <w:t>7</w:t>
            </w:r>
            <w:r>
              <w:rPr>
                <w:rStyle w:val="16"/>
                <w:rFonts w:hint="default"/>
                <w:color w:val="FF0000"/>
                <w:sz w:val="24"/>
                <w:szCs w:val="24"/>
              </w:rPr>
              <w:t>分</w:t>
            </w:r>
            <w:r>
              <w:rPr>
                <w:rStyle w:val="16"/>
                <w:rFonts w:hint="default"/>
                <w:color w:val="auto"/>
                <w:sz w:val="24"/>
                <w:szCs w:val="24"/>
              </w:rPr>
              <w:t>；方案不够完整合理，可操作性一般；不能完全满足的得</w:t>
            </w:r>
            <w:r>
              <w:rPr>
                <w:rStyle w:val="16"/>
                <w:rFonts w:hint="eastAsia" w:eastAsia="宋体"/>
                <w:color w:val="FF0000"/>
                <w:sz w:val="24"/>
                <w:szCs w:val="24"/>
                <w:lang w:val="en-US" w:eastAsia="zh-CN"/>
              </w:rPr>
              <w:t>4</w:t>
            </w:r>
            <w:r>
              <w:rPr>
                <w:rStyle w:val="16"/>
                <w:rFonts w:hint="default"/>
                <w:color w:val="FF0000"/>
                <w:sz w:val="24"/>
                <w:szCs w:val="24"/>
              </w:rPr>
              <w:t>分</w:t>
            </w:r>
            <w:r>
              <w:rPr>
                <w:rStyle w:val="16"/>
                <w:rFonts w:hint="default"/>
                <w:color w:val="auto"/>
                <w:sz w:val="24"/>
                <w:szCs w:val="24"/>
              </w:rPr>
              <w:t>，未提供方案得 0 分。</w:t>
            </w:r>
          </w:p>
        </w:tc>
        <w:tc>
          <w:tcPr>
            <w:tcW w:w="508"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jc w:val="center"/>
        </w:trPr>
        <w:tc>
          <w:tcPr>
            <w:tcW w:w="581" w:type="dxa"/>
            <w:vMerge w:val="continue"/>
            <w:tcBorders>
              <w:left w:val="single" w:color="000000" w:sz="8" w:space="0"/>
            </w:tcBorders>
            <w:shd w:val="clear" w:color="auto" w:fill="FFFFFF"/>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color w:val="0000FF"/>
                <w:sz w:val="24"/>
                <w:szCs w:val="24"/>
                <w:lang w:val="en-GB"/>
              </w:rPr>
            </w:pPr>
          </w:p>
        </w:tc>
        <w:tc>
          <w:tcPr>
            <w:tcW w:w="523" w:type="dxa"/>
            <w:vMerge w:val="continue"/>
            <w:tcBorders>
              <w:left w:val="single" w:color="000000" w:sz="8" w:space="0"/>
            </w:tcBorders>
            <w:shd w:val="clear" w:color="auto" w:fill="FFFFFF"/>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color w:val="0000FF"/>
                <w:sz w:val="24"/>
                <w:szCs w:val="24"/>
                <w:lang w:val="en-GB"/>
              </w:rPr>
            </w:pPr>
          </w:p>
        </w:tc>
        <w:tc>
          <w:tcPr>
            <w:tcW w:w="1343" w:type="dxa"/>
            <w:tcBorders>
              <w:top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val="0"/>
              <w:autoSpaceDN w:val="0"/>
              <w:bidi w:val="0"/>
              <w:adjustRightInd w:val="0"/>
              <w:spacing w:line="560" w:lineRule="exact"/>
              <w:jc w:val="center"/>
              <w:rPr>
                <w:rFonts w:hint="eastAsia" w:ascii="宋体" w:hAnsi="宋体" w:eastAsia="宋体"/>
                <w:sz w:val="24"/>
                <w:lang w:eastAsia="zh-CN"/>
              </w:rPr>
            </w:pPr>
            <w:r>
              <w:rPr>
                <w:rStyle w:val="16"/>
                <w:rFonts w:hint="default"/>
                <w:color w:val="auto"/>
                <w:sz w:val="24"/>
                <w:szCs w:val="24"/>
              </w:rPr>
              <w:t>物业管理服务质量保障服务方案</w:t>
            </w:r>
          </w:p>
        </w:tc>
        <w:tc>
          <w:tcPr>
            <w:tcW w:w="585"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Theme="minorEastAsia"/>
                <w:sz w:val="24"/>
                <w:lang w:val="en-US" w:eastAsia="zh-CN"/>
              </w:rPr>
            </w:pPr>
            <w:r>
              <w:rPr>
                <w:rFonts w:hint="eastAsia" w:ascii="宋体" w:hAnsi="宋体"/>
                <w:sz w:val="24"/>
                <w:lang w:val="en-US" w:eastAsia="zh-CN"/>
              </w:rPr>
              <w:t>10</w:t>
            </w:r>
          </w:p>
        </w:tc>
        <w:tc>
          <w:tcPr>
            <w:tcW w:w="7589"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sz w:val="24"/>
              </w:rPr>
            </w:pPr>
            <w:r>
              <w:rPr>
                <w:rStyle w:val="16"/>
                <w:rFonts w:hint="default"/>
                <w:color w:val="auto"/>
                <w:sz w:val="24"/>
                <w:szCs w:val="24"/>
              </w:rPr>
              <w:t>针对本项目物业管理服务质量的保障服务方案：服务方案完全适用于本项目用户需求，完整详细，科学合理，亮点多，可行性强，完全满足并优于采购需求，得</w:t>
            </w:r>
            <w:r>
              <w:rPr>
                <w:rStyle w:val="16"/>
                <w:rFonts w:hint="eastAsia" w:eastAsia="宋体"/>
                <w:color w:val="FF0000"/>
                <w:sz w:val="24"/>
                <w:szCs w:val="24"/>
                <w:lang w:val="en-US" w:eastAsia="zh-CN"/>
              </w:rPr>
              <w:t>10</w:t>
            </w:r>
            <w:r>
              <w:rPr>
                <w:rStyle w:val="16"/>
                <w:rFonts w:hint="default"/>
                <w:color w:val="FF0000"/>
                <w:sz w:val="24"/>
                <w:szCs w:val="24"/>
              </w:rPr>
              <w:t>分</w:t>
            </w:r>
            <w:r>
              <w:rPr>
                <w:rStyle w:val="16"/>
                <w:rFonts w:hint="default"/>
                <w:color w:val="auto"/>
                <w:sz w:val="24"/>
                <w:szCs w:val="24"/>
              </w:rPr>
              <w:t>；服务方案基本适用于本项目需求，方案架构较完整，较为合理，较可行的，完全满足采购需求，得</w:t>
            </w:r>
            <w:r>
              <w:rPr>
                <w:rStyle w:val="16"/>
                <w:rFonts w:hint="eastAsia" w:eastAsia="宋体"/>
                <w:color w:val="FF0000"/>
                <w:sz w:val="24"/>
                <w:szCs w:val="24"/>
                <w:lang w:val="en-US" w:eastAsia="zh-CN"/>
              </w:rPr>
              <w:t>7</w:t>
            </w:r>
            <w:r>
              <w:rPr>
                <w:rStyle w:val="16"/>
                <w:rFonts w:hint="default"/>
                <w:color w:val="FF0000"/>
                <w:sz w:val="24"/>
                <w:szCs w:val="24"/>
              </w:rPr>
              <w:t>分</w:t>
            </w:r>
            <w:r>
              <w:rPr>
                <w:rStyle w:val="16"/>
                <w:rFonts w:hint="default"/>
                <w:color w:val="auto"/>
                <w:sz w:val="24"/>
                <w:szCs w:val="24"/>
              </w:rPr>
              <w:t>；服务方案不完整，有不适用本项目需求，亮点少，针对性不强的，不能完全满足采购需求，得</w:t>
            </w:r>
            <w:r>
              <w:rPr>
                <w:rStyle w:val="16"/>
                <w:rFonts w:hint="eastAsia" w:eastAsia="宋体"/>
                <w:color w:val="FF0000"/>
                <w:sz w:val="24"/>
                <w:szCs w:val="24"/>
                <w:lang w:val="en-US" w:eastAsia="zh-CN"/>
              </w:rPr>
              <w:t>4</w:t>
            </w:r>
            <w:r>
              <w:rPr>
                <w:rStyle w:val="16"/>
                <w:rFonts w:hint="default"/>
                <w:color w:val="FF0000"/>
                <w:sz w:val="24"/>
                <w:szCs w:val="24"/>
              </w:rPr>
              <w:t>分</w:t>
            </w:r>
            <w:r>
              <w:rPr>
                <w:rStyle w:val="16"/>
                <w:rFonts w:hint="default"/>
                <w:color w:val="auto"/>
                <w:sz w:val="24"/>
                <w:szCs w:val="24"/>
              </w:rPr>
              <w:t>；无提供得0分。</w:t>
            </w:r>
          </w:p>
        </w:tc>
        <w:tc>
          <w:tcPr>
            <w:tcW w:w="508"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jc w:val="center"/>
        </w:trPr>
        <w:tc>
          <w:tcPr>
            <w:tcW w:w="581" w:type="dxa"/>
            <w:vMerge w:val="continue"/>
            <w:tcBorders>
              <w:left w:val="single" w:color="000000" w:sz="8" w:space="0"/>
            </w:tcBorders>
            <w:shd w:val="clear" w:color="auto" w:fill="FFFFFF"/>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color w:val="0000FF"/>
                <w:sz w:val="24"/>
                <w:szCs w:val="24"/>
                <w:lang w:val="en-GB"/>
              </w:rPr>
            </w:pPr>
          </w:p>
        </w:tc>
        <w:tc>
          <w:tcPr>
            <w:tcW w:w="523" w:type="dxa"/>
            <w:vMerge w:val="continue"/>
            <w:tcBorders>
              <w:left w:val="single" w:color="000000" w:sz="8" w:space="0"/>
            </w:tcBorders>
            <w:shd w:val="clear" w:color="auto" w:fill="FFFFFF"/>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color w:val="0000FF"/>
                <w:sz w:val="24"/>
                <w:szCs w:val="24"/>
                <w:lang w:val="en-GB"/>
              </w:rPr>
            </w:pPr>
          </w:p>
        </w:tc>
        <w:tc>
          <w:tcPr>
            <w:tcW w:w="1343" w:type="dxa"/>
            <w:tcBorders>
              <w:top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ind w:left="-78" w:leftChars="-37" w:right="-73" w:rightChars="-35"/>
              <w:jc w:val="center"/>
              <w:textAlignment w:val="auto"/>
              <w:rPr>
                <w:rStyle w:val="16"/>
                <w:rFonts w:hint="default"/>
                <w:color w:val="auto"/>
                <w:sz w:val="24"/>
                <w:szCs w:val="24"/>
              </w:rPr>
            </w:pPr>
            <w:r>
              <w:rPr>
                <w:rStyle w:val="16"/>
                <w:rFonts w:hint="default"/>
                <w:color w:val="auto"/>
                <w:sz w:val="24"/>
                <w:szCs w:val="24"/>
              </w:rPr>
              <w:t>突发事件应急响应能力</w:t>
            </w:r>
          </w:p>
        </w:tc>
        <w:tc>
          <w:tcPr>
            <w:tcW w:w="585"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sz w:val="24"/>
                <w:lang w:val="en-US" w:eastAsia="zh-CN"/>
              </w:rPr>
            </w:pPr>
            <w:r>
              <w:rPr>
                <w:rFonts w:hint="eastAsia" w:ascii="宋体" w:hAnsi="宋体" w:cs="宋体"/>
                <w:sz w:val="24"/>
                <w:lang w:val="en-US" w:eastAsia="zh-CN"/>
              </w:rPr>
              <w:t>10</w:t>
            </w:r>
          </w:p>
        </w:tc>
        <w:tc>
          <w:tcPr>
            <w:tcW w:w="7589"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Style w:val="16"/>
                <w:rFonts w:hint="default"/>
                <w:color w:val="auto"/>
                <w:sz w:val="24"/>
                <w:szCs w:val="24"/>
              </w:rPr>
            </w:pPr>
            <w:r>
              <w:rPr>
                <w:rStyle w:val="16"/>
                <w:rFonts w:hint="default"/>
                <w:color w:val="auto"/>
                <w:sz w:val="24"/>
                <w:szCs w:val="24"/>
              </w:rPr>
              <w:t>突发事件应急处理能力和资源调配能力可以充分满足采购人需求，</w:t>
            </w:r>
            <w:r>
              <w:rPr>
                <w:rFonts w:cs="仿宋_GB2312"/>
                <w:color w:val="auto"/>
                <w:sz w:val="24"/>
              </w:rPr>
              <w:t>有完善的应急机制</w:t>
            </w:r>
            <w:r>
              <w:rPr>
                <w:rFonts w:hint="eastAsia" w:cs="仿宋_GB2312"/>
                <w:color w:val="auto"/>
                <w:sz w:val="24"/>
              </w:rPr>
              <w:t>。</w:t>
            </w:r>
            <w:r>
              <w:rPr>
                <w:rStyle w:val="16"/>
                <w:rFonts w:hint="default"/>
                <w:color w:val="auto"/>
                <w:sz w:val="24"/>
                <w:szCs w:val="24"/>
              </w:rPr>
              <w:t>对各投标人对紧急突发事件处理的及时性，处理相关应急事件经验进行比较和评价。（</w:t>
            </w:r>
            <w:r>
              <w:rPr>
                <w:rStyle w:val="16"/>
                <w:rFonts w:hint="eastAsia"/>
                <w:color w:val="auto"/>
                <w:sz w:val="24"/>
                <w:szCs w:val="24"/>
                <w:lang w:val="en-US" w:eastAsia="zh-CN"/>
              </w:rPr>
              <w:t>1</w:t>
            </w:r>
            <w:r>
              <w:rPr>
                <w:rStyle w:val="16"/>
                <w:rFonts w:hint="default"/>
                <w:color w:val="auto"/>
                <w:sz w:val="24"/>
                <w:szCs w:val="24"/>
              </w:rPr>
              <w:t>）</w:t>
            </w:r>
            <w:r>
              <w:rPr>
                <w:rFonts w:hint="eastAsia" w:cs="仿宋_GB2312"/>
                <w:color w:val="000000" w:themeColor="text1"/>
                <w:sz w:val="24"/>
                <w14:textFill>
                  <w14:solidFill>
                    <w14:schemeClr w14:val="tx1"/>
                  </w14:solidFill>
                </w14:textFill>
              </w:rPr>
              <w:t>具有应急预案</w:t>
            </w:r>
            <w:r>
              <w:rPr>
                <w:rFonts w:hint="eastAsia" w:cs="仿宋_GB2312"/>
                <w:color w:val="000000" w:themeColor="text1"/>
                <w:sz w:val="24"/>
                <w:lang w:val="en-US" w:eastAsia="zh-CN"/>
                <w14:textFill>
                  <w14:solidFill>
                    <w14:schemeClr w14:val="tx1"/>
                  </w14:solidFill>
                </w14:textFill>
              </w:rPr>
              <w:t>管理</w:t>
            </w:r>
            <w:r>
              <w:rPr>
                <w:rFonts w:hint="eastAsia" w:cs="仿宋_GB2312"/>
                <w:color w:val="000000" w:themeColor="text1"/>
                <w:sz w:val="24"/>
                <w14:textFill>
                  <w14:solidFill>
                    <w14:schemeClr w14:val="tx1"/>
                  </w14:solidFill>
                </w14:textFill>
              </w:rPr>
              <w:t>体系认证</w:t>
            </w:r>
            <w:r>
              <w:rPr>
                <w:rFonts w:hint="eastAsia" w:cs="仿宋_GB2312"/>
                <w:color w:val="000000" w:themeColor="text1"/>
                <w:sz w:val="24"/>
                <w:lang w:val="en-US" w:eastAsia="zh-CN"/>
                <w14:textFill>
                  <w14:solidFill>
                    <w14:schemeClr w14:val="tx1"/>
                  </w14:solidFill>
                </w14:textFill>
              </w:rPr>
              <w:t>证书得</w:t>
            </w:r>
            <w:r>
              <w:rPr>
                <w:rFonts w:hint="eastAsia" w:cs="仿宋_GB2312"/>
                <w:color w:val="FF0000"/>
                <w:sz w:val="24"/>
                <w:lang w:val="en-US" w:eastAsia="zh-CN"/>
              </w:rPr>
              <w:t>2分</w:t>
            </w:r>
            <w:r>
              <w:rPr>
                <w:rStyle w:val="16"/>
                <w:rFonts w:hint="default"/>
                <w:color w:val="auto"/>
                <w:sz w:val="24"/>
                <w:szCs w:val="24"/>
              </w:rPr>
              <w:t>；（</w:t>
            </w:r>
            <w:r>
              <w:rPr>
                <w:rStyle w:val="16"/>
                <w:rFonts w:hint="eastAsia"/>
                <w:color w:val="auto"/>
                <w:sz w:val="24"/>
                <w:szCs w:val="24"/>
                <w:lang w:val="en-US" w:eastAsia="zh-CN"/>
              </w:rPr>
              <w:t>2</w:t>
            </w:r>
            <w:r>
              <w:rPr>
                <w:rStyle w:val="16"/>
                <w:rFonts w:hint="default"/>
                <w:color w:val="auto"/>
                <w:sz w:val="24"/>
                <w:szCs w:val="24"/>
              </w:rPr>
              <w:t>）</w:t>
            </w:r>
            <w:r>
              <w:rPr>
                <w:rStyle w:val="16"/>
                <w:rFonts w:hint="eastAsia"/>
                <w:color w:val="auto"/>
                <w:sz w:val="24"/>
                <w:szCs w:val="24"/>
                <w:lang w:val="en-US" w:eastAsia="zh-CN"/>
              </w:rPr>
              <w:t>具有应急响应管理地理优势</w:t>
            </w:r>
            <w:r>
              <w:rPr>
                <w:rStyle w:val="16"/>
                <w:rFonts w:hint="default"/>
                <w:color w:val="auto"/>
                <w:sz w:val="24"/>
                <w:szCs w:val="24"/>
              </w:rPr>
              <w:t>得</w:t>
            </w:r>
            <w:r>
              <w:rPr>
                <w:rStyle w:val="16"/>
                <w:rFonts w:hint="eastAsia"/>
                <w:color w:val="FF0000"/>
                <w:sz w:val="24"/>
                <w:szCs w:val="24"/>
                <w:lang w:val="en-US" w:eastAsia="zh-CN"/>
              </w:rPr>
              <w:t>3</w:t>
            </w:r>
            <w:r>
              <w:rPr>
                <w:rStyle w:val="16"/>
                <w:rFonts w:hint="default"/>
                <w:color w:val="FF0000"/>
                <w:sz w:val="24"/>
                <w:szCs w:val="24"/>
              </w:rPr>
              <w:t>分</w:t>
            </w:r>
            <w:r>
              <w:rPr>
                <w:rStyle w:val="16"/>
                <w:rFonts w:hint="default"/>
                <w:color w:val="auto"/>
                <w:sz w:val="24"/>
                <w:szCs w:val="24"/>
              </w:rPr>
              <w:t>；（</w:t>
            </w:r>
            <w:r>
              <w:rPr>
                <w:rStyle w:val="16"/>
                <w:rFonts w:hint="eastAsia"/>
                <w:color w:val="auto"/>
                <w:sz w:val="24"/>
                <w:szCs w:val="24"/>
                <w:lang w:val="en-US" w:eastAsia="zh-CN"/>
              </w:rPr>
              <w:t>3</w:t>
            </w:r>
            <w:r>
              <w:rPr>
                <w:rStyle w:val="16"/>
                <w:rFonts w:hint="default"/>
                <w:color w:val="auto"/>
                <w:sz w:val="24"/>
                <w:szCs w:val="24"/>
              </w:rPr>
              <w:t>）方案完整详细，科学合理，可行性强，满足且优于本项目用户需求，得</w:t>
            </w:r>
            <w:r>
              <w:rPr>
                <w:rStyle w:val="16"/>
                <w:rFonts w:hint="default"/>
                <w:color w:val="FF0000"/>
                <w:sz w:val="24"/>
                <w:szCs w:val="24"/>
              </w:rPr>
              <w:t>6分</w:t>
            </w:r>
            <w:r>
              <w:rPr>
                <w:rStyle w:val="16"/>
                <w:rFonts w:hint="default"/>
                <w:color w:val="auto"/>
                <w:sz w:val="24"/>
                <w:szCs w:val="24"/>
              </w:rPr>
              <w:t>；（</w:t>
            </w:r>
            <w:r>
              <w:rPr>
                <w:rStyle w:val="16"/>
                <w:rFonts w:hint="eastAsia"/>
                <w:color w:val="auto"/>
                <w:sz w:val="24"/>
                <w:szCs w:val="24"/>
                <w:lang w:val="en-US" w:eastAsia="zh-CN"/>
              </w:rPr>
              <w:t>4</w:t>
            </w:r>
            <w:r>
              <w:rPr>
                <w:rStyle w:val="16"/>
                <w:rFonts w:hint="default"/>
                <w:color w:val="auto"/>
                <w:sz w:val="24"/>
                <w:szCs w:val="24"/>
              </w:rPr>
              <w:t>）方案较完整详细，科学合理，可行性较强，适合本项目用户需求，得</w:t>
            </w:r>
            <w:r>
              <w:rPr>
                <w:rStyle w:val="16"/>
                <w:rFonts w:hint="default"/>
                <w:color w:val="FF0000"/>
                <w:sz w:val="24"/>
                <w:szCs w:val="24"/>
              </w:rPr>
              <w:t>3分</w:t>
            </w:r>
            <w:r>
              <w:rPr>
                <w:rStyle w:val="16"/>
                <w:rFonts w:hint="default"/>
                <w:color w:val="auto"/>
                <w:sz w:val="24"/>
                <w:szCs w:val="24"/>
              </w:rPr>
              <w:t>；（</w:t>
            </w:r>
            <w:r>
              <w:rPr>
                <w:rStyle w:val="16"/>
                <w:rFonts w:hint="eastAsia"/>
                <w:color w:val="auto"/>
                <w:sz w:val="24"/>
                <w:szCs w:val="24"/>
                <w:lang w:val="en-US" w:eastAsia="zh-CN"/>
              </w:rPr>
              <w:t>5</w:t>
            </w:r>
            <w:r>
              <w:rPr>
                <w:rStyle w:val="16"/>
                <w:rFonts w:hint="default"/>
                <w:color w:val="auto"/>
                <w:sz w:val="24"/>
                <w:szCs w:val="24"/>
              </w:rPr>
              <w:t>）方案不够完整详细，不太科学合理，可行性一般，方案不完全适合本项目用户需求，得</w:t>
            </w:r>
            <w:r>
              <w:rPr>
                <w:rStyle w:val="16"/>
                <w:rFonts w:hint="default"/>
                <w:color w:val="FF0000"/>
                <w:sz w:val="24"/>
                <w:szCs w:val="24"/>
              </w:rPr>
              <w:t>1分</w:t>
            </w:r>
            <w:r>
              <w:rPr>
                <w:rStyle w:val="16"/>
                <w:rFonts w:hint="default"/>
                <w:color w:val="auto"/>
                <w:sz w:val="24"/>
                <w:szCs w:val="24"/>
              </w:rPr>
              <w:t>；（</w:t>
            </w:r>
            <w:r>
              <w:rPr>
                <w:rStyle w:val="16"/>
                <w:rFonts w:hint="eastAsia"/>
                <w:color w:val="auto"/>
                <w:sz w:val="24"/>
                <w:szCs w:val="24"/>
                <w:lang w:val="en-US" w:eastAsia="zh-CN"/>
              </w:rPr>
              <w:t>6</w:t>
            </w:r>
            <w:r>
              <w:rPr>
                <w:rStyle w:val="16"/>
                <w:rFonts w:hint="default"/>
                <w:color w:val="auto"/>
                <w:sz w:val="24"/>
                <w:szCs w:val="24"/>
              </w:rPr>
              <w:t>）未提方案，得0分。</w:t>
            </w:r>
          </w:p>
        </w:tc>
        <w:tc>
          <w:tcPr>
            <w:tcW w:w="508"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0" w:hRule="atLeast"/>
          <w:jc w:val="center"/>
        </w:trPr>
        <w:tc>
          <w:tcPr>
            <w:tcW w:w="581" w:type="dxa"/>
            <w:vMerge w:val="continue"/>
            <w:tcBorders>
              <w:left w:val="single" w:color="000000" w:sz="8" w:space="0"/>
            </w:tcBorders>
            <w:shd w:val="clear" w:color="auto" w:fill="FFFFFF"/>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color w:val="0000FF"/>
                <w:sz w:val="24"/>
                <w:szCs w:val="24"/>
                <w:lang w:val="en-GB"/>
              </w:rPr>
            </w:pPr>
          </w:p>
        </w:tc>
        <w:tc>
          <w:tcPr>
            <w:tcW w:w="523" w:type="dxa"/>
            <w:vMerge w:val="continue"/>
            <w:tcBorders>
              <w:left w:val="single" w:color="000000" w:sz="8" w:space="0"/>
            </w:tcBorders>
            <w:shd w:val="clear" w:color="auto" w:fill="FFFFFF"/>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color w:val="0000FF"/>
                <w:sz w:val="24"/>
                <w:szCs w:val="24"/>
                <w:lang w:val="en-GB"/>
              </w:rPr>
            </w:pPr>
          </w:p>
        </w:tc>
        <w:tc>
          <w:tcPr>
            <w:tcW w:w="1343" w:type="dxa"/>
            <w:tcBorders>
              <w:top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sz w:val="24"/>
              </w:rPr>
            </w:pPr>
            <w:r>
              <w:rPr>
                <w:rStyle w:val="16"/>
                <w:rFonts w:hint="default"/>
                <w:color w:val="auto"/>
                <w:sz w:val="24"/>
                <w:szCs w:val="24"/>
              </w:rPr>
              <w:t>项目经理</w:t>
            </w:r>
          </w:p>
        </w:tc>
        <w:tc>
          <w:tcPr>
            <w:tcW w:w="585"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sz w:val="24"/>
                <w:lang w:val="en-US" w:eastAsia="zh-CN"/>
              </w:rPr>
            </w:pPr>
            <w:r>
              <w:rPr>
                <w:rFonts w:hint="eastAsia" w:ascii="宋体" w:hAnsi="宋体"/>
                <w:sz w:val="24"/>
                <w:lang w:val="en-US" w:eastAsia="zh-CN"/>
              </w:rPr>
              <w:t>10</w:t>
            </w:r>
          </w:p>
        </w:tc>
        <w:tc>
          <w:tcPr>
            <w:tcW w:w="7589"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Theme="minorEastAsia"/>
                <w:sz w:val="24"/>
                <w:lang w:eastAsia="zh-CN"/>
              </w:rPr>
            </w:pPr>
            <w:r>
              <w:rPr>
                <w:rStyle w:val="16"/>
                <w:rFonts w:hint="default"/>
                <w:color w:val="auto"/>
                <w:sz w:val="24"/>
                <w:szCs w:val="24"/>
              </w:rPr>
              <w:t>拟派项目经理1名，</w:t>
            </w:r>
            <w:r>
              <w:rPr>
                <w:rStyle w:val="16"/>
                <w:rFonts w:hint="eastAsia"/>
                <w:color w:val="auto"/>
                <w:sz w:val="24"/>
                <w:szCs w:val="24"/>
                <w:lang w:val="en-US" w:eastAsia="zh-CN"/>
              </w:rPr>
              <w:t>大专</w:t>
            </w:r>
            <w:r>
              <w:rPr>
                <w:rStyle w:val="16"/>
                <w:rFonts w:hint="default"/>
                <w:color w:val="auto"/>
                <w:sz w:val="24"/>
                <w:szCs w:val="24"/>
              </w:rPr>
              <w:t>或以上学历得</w:t>
            </w:r>
            <w:r>
              <w:rPr>
                <w:rStyle w:val="16"/>
                <w:rFonts w:hint="default"/>
                <w:color w:val="FF0000"/>
                <w:sz w:val="24"/>
                <w:szCs w:val="24"/>
              </w:rPr>
              <w:t>2分</w:t>
            </w:r>
            <w:r>
              <w:rPr>
                <w:rStyle w:val="16"/>
                <w:rFonts w:hint="default"/>
                <w:color w:val="auto"/>
                <w:sz w:val="24"/>
                <w:szCs w:val="24"/>
              </w:rPr>
              <w:t>，持有人社部门颁发的建（构）筑物消防员三级或以上职业资格证书得</w:t>
            </w:r>
            <w:r>
              <w:rPr>
                <w:rStyle w:val="16"/>
                <w:rFonts w:hint="eastAsia"/>
                <w:color w:val="FF0000"/>
                <w:sz w:val="24"/>
                <w:szCs w:val="24"/>
                <w:lang w:val="en-US" w:eastAsia="zh-CN"/>
              </w:rPr>
              <w:t>3</w:t>
            </w:r>
            <w:r>
              <w:rPr>
                <w:rStyle w:val="16"/>
                <w:rFonts w:hint="default"/>
                <w:color w:val="FF0000"/>
                <w:sz w:val="24"/>
                <w:szCs w:val="24"/>
              </w:rPr>
              <w:t>分</w:t>
            </w:r>
            <w:r>
              <w:rPr>
                <w:rStyle w:val="16"/>
                <w:rFonts w:hint="eastAsia"/>
                <w:color w:val="auto"/>
                <w:sz w:val="24"/>
                <w:szCs w:val="24"/>
                <w:lang w:eastAsia="zh-CN"/>
              </w:rPr>
              <w:t>，</w:t>
            </w:r>
            <w:r>
              <w:rPr>
                <w:rStyle w:val="16"/>
                <w:rFonts w:hint="default"/>
                <w:color w:val="auto"/>
                <w:sz w:val="24"/>
                <w:szCs w:val="24"/>
              </w:rPr>
              <w:t>持有</w:t>
            </w:r>
            <w:r>
              <w:rPr>
                <w:rStyle w:val="16"/>
                <w:rFonts w:hint="eastAsia"/>
                <w:color w:val="auto"/>
                <w:sz w:val="24"/>
                <w:szCs w:val="24"/>
                <w:lang w:val="en-US" w:eastAsia="zh-CN"/>
              </w:rPr>
              <w:t>市场监督管理局颁发的</w:t>
            </w:r>
            <w:r>
              <w:rPr>
                <w:rFonts w:hint="eastAsia" w:ascii="宋体" w:hAnsi="宋体"/>
                <w:sz w:val="24"/>
                <w:szCs w:val="24"/>
                <w:lang w:val="en-US" w:eastAsia="zh-CN"/>
              </w:rPr>
              <w:t>安全管理和作业人员证</w:t>
            </w:r>
            <w:r>
              <w:rPr>
                <w:rFonts w:hint="eastAsia" w:ascii="宋体" w:hAnsi="宋体"/>
                <w:sz w:val="24"/>
                <w:szCs w:val="24"/>
              </w:rPr>
              <w:t>得</w:t>
            </w:r>
            <w:r>
              <w:rPr>
                <w:rFonts w:hint="eastAsia" w:ascii="宋体" w:hAnsi="宋体"/>
                <w:color w:val="FF0000"/>
                <w:sz w:val="24"/>
                <w:szCs w:val="24"/>
                <w:lang w:val="en-US" w:eastAsia="zh-CN"/>
              </w:rPr>
              <w:t>3</w:t>
            </w:r>
            <w:r>
              <w:rPr>
                <w:rFonts w:hint="eastAsia" w:ascii="宋体" w:hAnsi="宋体"/>
                <w:color w:val="FF0000"/>
                <w:sz w:val="24"/>
                <w:szCs w:val="24"/>
              </w:rPr>
              <w:t>分</w:t>
            </w:r>
            <w:r>
              <w:rPr>
                <w:rStyle w:val="16"/>
                <w:rFonts w:hint="default"/>
                <w:color w:val="auto"/>
                <w:sz w:val="24"/>
                <w:szCs w:val="24"/>
              </w:rPr>
              <w:t>（投标文件提供投标人为本项目拟派出项目经理购买的本单位社保记录，投标人提供</w:t>
            </w:r>
            <w:r>
              <w:rPr>
                <w:rStyle w:val="16"/>
                <w:rFonts w:hint="default"/>
                <w:color w:val="FF0000"/>
                <w:sz w:val="24"/>
                <w:szCs w:val="24"/>
              </w:rPr>
              <w:t>开标前连续</w:t>
            </w:r>
            <w:r>
              <w:rPr>
                <w:rStyle w:val="16"/>
                <w:rFonts w:hint="eastAsia"/>
                <w:color w:val="FF0000"/>
                <w:sz w:val="24"/>
                <w:szCs w:val="24"/>
                <w:lang w:val="en-US" w:eastAsia="zh-CN"/>
              </w:rPr>
              <w:t>三个月</w:t>
            </w:r>
            <w:r>
              <w:rPr>
                <w:rStyle w:val="16"/>
                <w:rFonts w:hint="default"/>
                <w:color w:val="FF0000"/>
                <w:sz w:val="24"/>
                <w:szCs w:val="24"/>
              </w:rPr>
              <w:t>社保记录</w:t>
            </w:r>
            <w:r>
              <w:rPr>
                <w:rStyle w:val="16"/>
                <w:rFonts w:hint="default"/>
                <w:color w:val="auto"/>
                <w:sz w:val="24"/>
                <w:szCs w:val="24"/>
              </w:rPr>
              <w:t>证明材料以及相关证书的证明材料复印件才能得分）</w:t>
            </w:r>
            <w:r>
              <w:rPr>
                <w:rStyle w:val="16"/>
                <w:rFonts w:hint="eastAsia" w:eastAsia="宋体"/>
                <w:color w:val="auto"/>
                <w:sz w:val="24"/>
                <w:szCs w:val="24"/>
                <w:lang w:eastAsia="zh-CN"/>
              </w:rPr>
              <w:t>，</w:t>
            </w:r>
            <w:r>
              <w:rPr>
                <w:rFonts w:hint="eastAsia"/>
                <w:sz w:val="24"/>
              </w:rPr>
              <w:t>无提供的不得分</w:t>
            </w:r>
            <w:r>
              <w:rPr>
                <w:rFonts w:hint="eastAsia"/>
                <w:sz w:val="24"/>
                <w:lang w:eastAsia="zh-CN"/>
              </w:rPr>
              <w:t>。</w:t>
            </w:r>
          </w:p>
        </w:tc>
        <w:tc>
          <w:tcPr>
            <w:tcW w:w="508" w:type="dxa"/>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left"/>
              <w:rPr>
                <w:rFonts w:hint="default" w:eastAsia="宋体"/>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581"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sz w:val="24"/>
                <w:lang w:val="en-US" w:eastAsia="zh-CN"/>
              </w:rPr>
            </w:pPr>
            <w:r>
              <w:rPr>
                <w:rFonts w:hint="eastAsia" w:ascii="宋体" w:hAnsi="宋体"/>
                <w:sz w:val="24"/>
                <w:lang w:val="en-US" w:eastAsia="zh-CN"/>
              </w:rPr>
              <w:t>3</w:t>
            </w:r>
          </w:p>
        </w:tc>
        <w:tc>
          <w:tcPr>
            <w:tcW w:w="1866"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sz w:val="24"/>
              </w:rPr>
            </w:pPr>
            <w:r>
              <w:rPr>
                <w:rFonts w:hint="eastAsia" w:ascii="宋体" w:hAnsi="宋体"/>
                <w:sz w:val="24"/>
              </w:rPr>
              <w:t>财务状况</w:t>
            </w:r>
          </w:p>
        </w:tc>
        <w:tc>
          <w:tcPr>
            <w:tcW w:w="58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sz w:val="24"/>
                <w:lang w:eastAsia="zh-CN"/>
              </w:rPr>
            </w:pPr>
            <w:r>
              <w:rPr>
                <w:rFonts w:hint="eastAsia" w:ascii="宋体" w:hAnsi="宋体"/>
                <w:sz w:val="24"/>
                <w:lang w:val="en-US" w:eastAsia="zh-CN"/>
              </w:rPr>
              <w:t>5</w:t>
            </w:r>
          </w:p>
        </w:tc>
        <w:tc>
          <w:tcPr>
            <w:tcW w:w="7589"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sz w:val="24"/>
                <w:lang w:val="en-GB" w:eastAsia="zh-CN"/>
              </w:rPr>
            </w:pPr>
            <w:r>
              <w:rPr>
                <w:rFonts w:hint="eastAsia" w:ascii="宋体" w:hAnsi="宋体"/>
                <w:sz w:val="24"/>
              </w:rPr>
              <w:t>根据</w:t>
            </w:r>
            <w:r>
              <w:rPr>
                <w:rFonts w:hint="eastAsia" w:ascii="宋体" w:hAnsi="宋体"/>
                <w:sz w:val="24"/>
                <w:lang w:eastAsia="zh-CN"/>
              </w:rPr>
              <w:t>供应商</w:t>
            </w:r>
            <w:r>
              <w:rPr>
                <w:rFonts w:hint="eastAsia" w:ascii="宋体" w:hAnsi="宋体"/>
                <w:sz w:val="24"/>
              </w:rPr>
              <w:t>是否具有202</w:t>
            </w:r>
            <w:r>
              <w:rPr>
                <w:rFonts w:hint="eastAsia" w:ascii="宋体" w:hAnsi="宋体"/>
                <w:sz w:val="24"/>
                <w:lang w:val="en-US" w:eastAsia="zh-CN"/>
              </w:rPr>
              <w:t>2</w:t>
            </w:r>
            <w:r>
              <w:rPr>
                <w:rFonts w:hint="eastAsia" w:ascii="宋体" w:hAnsi="宋体"/>
                <w:sz w:val="24"/>
              </w:rPr>
              <w:t>年度财务状况报告或202</w:t>
            </w:r>
            <w:r>
              <w:rPr>
                <w:rFonts w:hint="eastAsia" w:ascii="宋体" w:hAnsi="宋体"/>
                <w:sz w:val="24"/>
                <w:lang w:val="en-US" w:eastAsia="zh-CN"/>
              </w:rPr>
              <w:t>2</w:t>
            </w:r>
            <w:r>
              <w:rPr>
                <w:rFonts w:hint="eastAsia" w:ascii="宋体" w:hAnsi="宋体"/>
                <w:sz w:val="24"/>
              </w:rPr>
              <w:t>年至今任意1个月财务状况报表</w:t>
            </w:r>
            <w:r>
              <w:rPr>
                <w:rFonts w:hint="eastAsia" w:ascii="宋体" w:hAnsi="宋体"/>
                <w:sz w:val="24"/>
                <w:lang w:eastAsia="zh-CN"/>
              </w:rPr>
              <w:t>。</w:t>
            </w:r>
            <w:r>
              <w:rPr>
                <w:rFonts w:hint="eastAsia" w:ascii="宋体" w:hAnsi="宋体"/>
                <w:sz w:val="24"/>
              </w:rPr>
              <w:t>有得</w:t>
            </w:r>
            <w:r>
              <w:rPr>
                <w:rFonts w:hint="eastAsia" w:ascii="宋体" w:hAnsi="宋体"/>
                <w:sz w:val="24"/>
                <w:lang w:val="en-US" w:eastAsia="zh-CN"/>
              </w:rPr>
              <w:t>5</w:t>
            </w:r>
            <w:r>
              <w:rPr>
                <w:rFonts w:hint="eastAsia" w:ascii="宋体" w:hAnsi="宋体"/>
                <w:sz w:val="24"/>
              </w:rPr>
              <w:t>分，无提供不得分</w:t>
            </w:r>
          </w:p>
        </w:tc>
        <w:tc>
          <w:tcPr>
            <w:tcW w:w="50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7" w:hRule="atLeast"/>
          <w:jc w:val="center"/>
        </w:trPr>
        <w:tc>
          <w:tcPr>
            <w:tcW w:w="581" w:type="dxa"/>
            <w:vMerge w:val="restart"/>
            <w:tcBorders>
              <w:top w:val="single" w:color="000000" w:sz="8" w:space="0"/>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sz w:val="24"/>
                <w:lang w:val="en-US" w:eastAsia="zh-CN"/>
              </w:rPr>
            </w:pPr>
            <w:r>
              <w:rPr>
                <w:rFonts w:hint="eastAsia" w:ascii="宋体" w:hAnsi="宋体" w:eastAsia="宋体" w:cs="宋体"/>
                <w:sz w:val="24"/>
                <w:lang w:val="en-US" w:eastAsia="zh-CN"/>
              </w:rPr>
              <w:t>4</w:t>
            </w:r>
          </w:p>
        </w:tc>
        <w:tc>
          <w:tcPr>
            <w:tcW w:w="523" w:type="dxa"/>
            <w:vMerge w:val="restart"/>
            <w:tcBorders>
              <w:top w:val="single" w:color="000000" w:sz="8" w:space="0"/>
              <w:left w:val="single" w:color="000000" w:sz="8"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b/>
                <w:bCs/>
                <w:sz w:val="24"/>
                <w:lang w:val="en-GB"/>
              </w:rPr>
            </w:pPr>
            <w:r>
              <w:rPr>
                <w:rFonts w:hint="eastAsia" w:ascii="宋体" w:hAnsi="宋体"/>
                <w:sz w:val="24"/>
              </w:rPr>
              <w:t>商务部分</w:t>
            </w:r>
          </w:p>
        </w:tc>
        <w:tc>
          <w:tcPr>
            <w:tcW w:w="1343" w:type="dxa"/>
            <w:tcBorders>
              <w:top w:val="single" w:color="000000" w:sz="8" w:space="0"/>
              <w:left w:val="single" w:color="auto" w:sz="4"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center"/>
              <w:rPr>
                <w:rFonts w:ascii="宋体" w:hAnsi="宋体"/>
                <w:sz w:val="24"/>
                <w:szCs w:val="24"/>
              </w:rPr>
            </w:pPr>
            <w:r>
              <w:rPr>
                <w:rStyle w:val="16"/>
                <w:rFonts w:hint="default"/>
                <w:color w:val="auto"/>
                <w:sz w:val="24"/>
                <w:szCs w:val="24"/>
              </w:rPr>
              <w:t>投标人业绩</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b/>
                <w:bCs/>
                <w:sz w:val="24"/>
                <w:lang w:val="en-GB"/>
              </w:rPr>
            </w:pPr>
          </w:p>
        </w:tc>
        <w:tc>
          <w:tcPr>
            <w:tcW w:w="58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eastAsiaTheme="minorEastAsia"/>
                <w:sz w:val="24"/>
                <w:lang w:val="en-US" w:eastAsia="zh-CN"/>
              </w:rPr>
            </w:pPr>
            <w:r>
              <w:rPr>
                <w:rFonts w:hint="eastAsia" w:ascii="宋体" w:hAnsi="宋体" w:cs="宋体"/>
                <w:kern w:val="0"/>
                <w:sz w:val="24"/>
                <w:lang w:val="en-US" w:eastAsia="zh-CN"/>
              </w:rPr>
              <w:t>5</w:t>
            </w:r>
          </w:p>
        </w:tc>
        <w:tc>
          <w:tcPr>
            <w:tcW w:w="7589"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sz w:val="24"/>
                <w:lang w:eastAsia="zh-CN"/>
              </w:rPr>
            </w:pPr>
            <w:r>
              <w:rPr>
                <w:rStyle w:val="16"/>
                <w:rFonts w:hint="default"/>
                <w:color w:val="auto"/>
                <w:sz w:val="24"/>
                <w:szCs w:val="24"/>
              </w:rPr>
              <w:t>根据投标人 20</w:t>
            </w:r>
            <w:r>
              <w:rPr>
                <w:rStyle w:val="16"/>
                <w:rFonts w:hint="eastAsia"/>
                <w:color w:val="auto"/>
                <w:sz w:val="24"/>
                <w:szCs w:val="24"/>
                <w:lang w:val="en-US" w:eastAsia="zh-CN"/>
              </w:rPr>
              <w:t>20</w:t>
            </w:r>
            <w:r>
              <w:rPr>
                <w:rStyle w:val="16"/>
                <w:rFonts w:hint="default"/>
                <w:color w:val="auto"/>
                <w:sz w:val="24"/>
                <w:szCs w:val="24"/>
              </w:rPr>
              <w:t xml:space="preserve"> 年以来（以合同签订时间为准）承担的物业管理服务经验，每个项目得</w:t>
            </w:r>
            <w:r>
              <w:rPr>
                <w:rStyle w:val="16"/>
                <w:rFonts w:hint="eastAsia"/>
                <w:color w:val="FF0000"/>
                <w:sz w:val="24"/>
                <w:szCs w:val="24"/>
                <w:lang w:val="en-US" w:eastAsia="zh-CN"/>
              </w:rPr>
              <w:t>1</w:t>
            </w:r>
            <w:r>
              <w:rPr>
                <w:rStyle w:val="16"/>
                <w:rFonts w:hint="default"/>
                <w:color w:val="FF0000"/>
                <w:sz w:val="24"/>
                <w:szCs w:val="24"/>
              </w:rPr>
              <w:t>分</w:t>
            </w:r>
            <w:r>
              <w:rPr>
                <w:rStyle w:val="16"/>
                <w:rFonts w:hint="default"/>
                <w:color w:val="auto"/>
                <w:sz w:val="24"/>
                <w:szCs w:val="24"/>
              </w:rPr>
              <w:t>，本项最高得</w:t>
            </w:r>
            <w:r>
              <w:rPr>
                <w:rStyle w:val="16"/>
                <w:rFonts w:hint="eastAsia"/>
                <w:color w:val="FF0000"/>
                <w:sz w:val="24"/>
                <w:szCs w:val="24"/>
                <w:lang w:val="en-US" w:eastAsia="zh-CN"/>
              </w:rPr>
              <w:t>5</w:t>
            </w:r>
            <w:r>
              <w:rPr>
                <w:rStyle w:val="16"/>
                <w:rFonts w:hint="default"/>
                <w:color w:val="FF0000"/>
                <w:sz w:val="24"/>
                <w:szCs w:val="24"/>
              </w:rPr>
              <w:t>分</w:t>
            </w:r>
            <w:r>
              <w:rPr>
                <w:rStyle w:val="16"/>
                <w:rFonts w:hint="default"/>
                <w:color w:val="auto"/>
                <w:sz w:val="24"/>
                <w:szCs w:val="24"/>
              </w:rPr>
              <w:t>，同一项目不同年份的合同按一份业绩计算，不重复计算分数；同一业主续签不重复计分。注：投标人应提供合同关键页（含签订双方的单位名称、合同期间、合同金额、签订日期的关键页）复印件。</w:t>
            </w:r>
            <w:r>
              <w:rPr>
                <w:rStyle w:val="16"/>
                <w:rFonts w:hint="eastAsia" w:eastAsia="宋体"/>
                <w:color w:val="auto"/>
                <w:sz w:val="24"/>
                <w:szCs w:val="24"/>
                <w:lang w:eastAsia="zh-CN"/>
              </w:rPr>
              <w:t>无提供的不得分。</w:t>
            </w:r>
          </w:p>
        </w:tc>
        <w:tc>
          <w:tcPr>
            <w:tcW w:w="50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left"/>
              <w:rPr>
                <w:rFonts w:hint="eastAsia" w:ascii="宋体" w:hAnsi="宋体"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2" w:hRule="atLeast"/>
          <w:jc w:val="center"/>
        </w:trPr>
        <w:tc>
          <w:tcPr>
            <w:tcW w:w="581" w:type="dxa"/>
            <w:vMerge w:val="continue"/>
            <w:tcBorders>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4"/>
                <w:lang w:val="en-US" w:eastAsia="zh-CN"/>
              </w:rPr>
            </w:pPr>
          </w:p>
        </w:tc>
        <w:tc>
          <w:tcPr>
            <w:tcW w:w="523" w:type="dxa"/>
            <w:vMerge w:val="continue"/>
            <w:tcBorders>
              <w:left w:val="single" w:color="000000" w:sz="8"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sz w:val="24"/>
              </w:rPr>
            </w:pPr>
          </w:p>
        </w:tc>
        <w:tc>
          <w:tcPr>
            <w:tcW w:w="1343" w:type="dxa"/>
            <w:tcBorders>
              <w:top w:val="single" w:color="000000" w:sz="8" w:space="0"/>
              <w:left w:val="single" w:color="auto" w:sz="4"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center"/>
              <w:rPr>
                <w:rStyle w:val="16"/>
                <w:rFonts w:hint="default"/>
                <w:color w:val="FF0000"/>
                <w:sz w:val="24"/>
                <w:szCs w:val="24"/>
              </w:rPr>
            </w:pPr>
            <w:r>
              <w:rPr>
                <w:rStyle w:val="16"/>
                <w:rFonts w:hint="default"/>
                <w:color w:val="000000" w:themeColor="text1"/>
                <w:sz w:val="24"/>
                <w:szCs w:val="24"/>
                <w14:textFill>
                  <w14:solidFill>
                    <w14:schemeClr w14:val="tx1"/>
                  </w14:solidFill>
                </w14:textFill>
              </w:rPr>
              <w:t>客户评价</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b/>
                <w:bCs/>
                <w:sz w:val="24"/>
                <w:lang w:val="en-GB"/>
              </w:rPr>
            </w:pPr>
          </w:p>
        </w:tc>
        <w:tc>
          <w:tcPr>
            <w:tcW w:w="58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cs="宋体"/>
                <w:kern w:val="0"/>
                <w:sz w:val="24"/>
                <w:lang w:val="en-US" w:eastAsia="zh-CN"/>
              </w:rPr>
            </w:pPr>
            <w:r>
              <w:rPr>
                <w:rFonts w:hint="eastAsia" w:ascii="宋体" w:hAnsi="宋体" w:cs="宋体"/>
                <w:kern w:val="0"/>
                <w:sz w:val="24"/>
                <w:lang w:val="en-US" w:eastAsia="zh-CN"/>
              </w:rPr>
              <w:t>5</w:t>
            </w:r>
          </w:p>
        </w:tc>
        <w:tc>
          <w:tcPr>
            <w:tcW w:w="7589"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Style w:val="16"/>
                <w:rFonts w:hint="default"/>
                <w:color w:val="auto"/>
                <w:sz w:val="24"/>
                <w:szCs w:val="24"/>
              </w:rPr>
            </w:pPr>
            <w:r>
              <w:rPr>
                <w:rStyle w:val="16"/>
                <w:rFonts w:hint="default"/>
                <w:color w:val="auto"/>
                <w:sz w:val="24"/>
                <w:szCs w:val="24"/>
              </w:rPr>
              <w:t>20</w:t>
            </w:r>
            <w:r>
              <w:rPr>
                <w:rStyle w:val="16"/>
                <w:rFonts w:hint="eastAsia"/>
                <w:color w:val="auto"/>
                <w:sz w:val="24"/>
                <w:szCs w:val="24"/>
                <w:lang w:val="en-US" w:eastAsia="zh-CN"/>
              </w:rPr>
              <w:t>20</w:t>
            </w:r>
            <w:r>
              <w:rPr>
                <w:rStyle w:val="16"/>
                <w:rFonts w:hint="default"/>
                <w:color w:val="auto"/>
                <w:sz w:val="24"/>
                <w:szCs w:val="24"/>
              </w:rPr>
              <w:t>年以来的项目（必须为以上业绩情况中有效计分的业绩）获得项目用户考核评价为正面评价（优秀、优良、良好、满意或相当于类似评价）。每份得</w:t>
            </w:r>
            <w:r>
              <w:rPr>
                <w:rStyle w:val="16"/>
                <w:rFonts w:hint="default"/>
                <w:color w:val="FF0000"/>
                <w:sz w:val="24"/>
                <w:szCs w:val="24"/>
              </w:rPr>
              <w:t>1分</w:t>
            </w:r>
            <w:r>
              <w:rPr>
                <w:rStyle w:val="16"/>
                <w:rFonts w:hint="default"/>
                <w:color w:val="auto"/>
                <w:sz w:val="24"/>
                <w:szCs w:val="24"/>
              </w:rPr>
              <w:t>，最高</w:t>
            </w:r>
            <w:r>
              <w:rPr>
                <w:rStyle w:val="16"/>
                <w:rFonts w:hint="default"/>
                <w:color w:val="FF0000"/>
                <w:sz w:val="24"/>
                <w:szCs w:val="24"/>
              </w:rPr>
              <w:t>5分</w:t>
            </w:r>
            <w:r>
              <w:rPr>
                <w:rStyle w:val="16"/>
                <w:rFonts w:hint="default"/>
                <w:color w:val="auto"/>
                <w:sz w:val="24"/>
                <w:szCs w:val="24"/>
              </w:rPr>
              <w:t>，同一项目不同年份的合同按一份计算，不重复计算分数（提供合同甲方盖章的评价文件，不提供不得分）</w:t>
            </w:r>
          </w:p>
        </w:tc>
        <w:tc>
          <w:tcPr>
            <w:tcW w:w="50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81" w:type="dxa"/>
            <w:vMerge w:val="continue"/>
            <w:tcBorders>
              <w:left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4"/>
                <w:lang w:val="en-US" w:eastAsia="zh-CN"/>
              </w:rPr>
            </w:pPr>
          </w:p>
        </w:tc>
        <w:tc>
          <w:tcPr>
            <w:tcW w:w="523" w:type="dxa"/>
            <w:vMerge w:val="continue"/>
            <w:tcBorders>
              <w:left w:val="single" w:color="000000" w:sz="8"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sz w:val="24"/>
              </w:rPr>
            </w:pPr>
          </w:p>
        </w:tc>
        <w:tc>
          <w:tcPr>
            <w:tcW w:w="1343" w:type="dxa"/>
            <w:tcBorders>
              <w:top w:val="single" w:color="000000" w:sz="8" w:space="0"/>
              <w:left w:val="single" w:color="auto" w:sz="4"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b/>
                <w:bCs/>
                <w:sz w:val="24"/>
                <w:lang w:val="en-GB"/>
              </w:rPr>
            </w:pPr>
            <w:r>
              <w:rPr>
                <w:rStyle w:val="16"/>
                <w:rFonts w:hint="eastAsia" w:eastAsia="宋体"/>
                <w:color w:val="auto"/>
                <w:sz w:val="24"/>
                <w:szCs w:val="24"/>
                <w:lang w:eastAsia="zh-CN"/>
              </w:rPr>
              <w:t>经营范围</w:t>
            </w:r>
          </w:p>
        </w:tc>
        <w:tc>
          <w:tcPr>
            <w:tcW w:w="58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kern w:val="0"/>
                <w:sz w:val="24"/>
                <w:lang w:val="en-US" w:eastAsia="zh-CN"/>
              </w:rPr>
            </w:pPr>
            <w:r>
              <w:rPr>
                <w:rFonts w:hint="eastAsia" w:ascii="宋体" w:hAnsi="宋体" w:cs="宋体"/>
                <w:kern w:val="0"/>
                <w:sz w:val="24"/>
                <w:lang w:val="en-US" w:eastAsia="zh-CN"/>
              </w:rPr>
              <w:t>5</w:t>
            </w:r>
          </w:p>
        </w:tc>
        <w:tc>
          <w:tcPr>
            <w:tcW w:w="7589"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宋体" w:hAnsi="宋体" w:cs="宋体"/>
                <w:kern w:val="0"/>
                <w:sz w:val="24"/>
                <w:lang w:val="en-US" w:eastAsia="zh-CN"/>
              </w:rPr>
            </w:pPr>
            <w:r>
              <w:rPr>
                <w:rFonts w:hint="eastAsia" w:ascii="宋体" w:hAnsi="宋体" w:cs="宋体"/>
                <w:kern w:val="0"/>
                <w:sz w:val="24"/>
                <w:lang w:val="en-US" w:eastAsia="zh-CN"/>
              </w:rPr>
              <w:t>营业执照中经营范围含物业管理项的，得5分。</w:t>
            </w:r>
          </w:p>
        </w:tc>
        <w:tc>
          <w:tcPr>
            <w:tcW w:w="50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581" w:type="dxa"/>
            <w:vMerge w:val="continue"/>
            <w:tcBorders>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4"/>
                <w:lang w:val="en-US" w:eastAsia="zh-CN"/>
              </w:rPr>
            </w:pPr>
          </w:p>
        </w:tc>
        <w:tc>
          <w:tcPr>
            <w:tcW w:w="523" w:type="dxa"/>
            <w:vMerge w:val="continue"/>
            <w:tcBorders>
              <w:left w:val="single" w:color="000000" w:sz="8" w:space="0"/>
              <w:bottom w:val="single" w:color="000000" w:sz="8"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sz w:val="24"/>
              </w:rPr>
            </w:pPr>
          </w:p>
        </w:tc>
        <w:tc>
          <w:tcPr>
            <w:tcW w:w="1343" w:type="dxa"/>
            <w:tcBorders>
              <w:top w:val="single" w:color="000000" w:sz="8" w:space="0"/>
              <w:left w:val="single" w:color="auto" w:sz="4"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b/>
                <w:bCs/>
                <w:sz w:val="24"/>
                <w:lang w:val="en-GB"/>
              </w:rPr>
            </w:pPr>
            <w:r>
              <w:rPr>
                <w:rStyle w:val="16"/>
                <w:rFonts w:hint="default"/>
                <w:color w:val="auto"/>
                <w:sz w:val="24"/>
                <w:szCs w:val="24"/>
              </w:rPr>
              <w:t>管理体系认证</w:t>
            </w:r>
          </w:p>
        </w:tc>
        <w:tc>
          <w:tcPr>
            <w:tcW w:w="58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cs="宋体"/>
                <w:kern w:val="0"/>
                <w:sz w:val="24"/>
                <w:lang w:val="en-US" w:eastAsia="zh-CN"/>
              </w:rPr>
            </w:pPr>
            <w:r>
              <w:rPr>
                <w:rFonts w:hint="eastAsia" w:ascii="宋体" w:hAnsi="宋体" w:cs="宋体"/>
                <w:kern w:val="0"/>
                <w:sz w:val="24"/>
                <w:lang w:val="en-US" w:eastAsia="zh-CN"/>
              </w:rPr>
              <w:t>10</w:t>
            </w:r>
          </w:p>
        </w:tc>
        <w:tc>
          <w:tcPr>
            <w:tcW w:w="7589"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Style w:val="16"/>
                <w:rFonts w:hint="default"/>
                <w:color w:val="auto"/>
                <w:sz w:val="24"/>
                <w:szCs w:val="24"/>
              </w:rPr>
            </w:pPr>
            <w:r>
              <w:rPr>
                <w:rStyle w:val="16"/>
                <w:rFonts w:hint="default"/>
                <w:color w:val="auto"/>
                <w:sz w:val="24"/>
                <w:szCs w:val="24"/>
              </w:rPr>
              <w:t>投标人通过以下管理认证，每提供一项得</w:t>
            </w:r>
            <w:r>
              <w:rPr>
                <w:rStyle w:val="16"/>
                <w:rFonts w:hint="eastAsia"/>
                <w:color w:val="FF0000"/>
                <w:sz w:val="24"/>
                <w:szCs w:val="24"/>
                <w:lang w:val="en-US" w:eastAsia="zh-CN"/>
              </w:rPr>
              <w:t>2</w:t>
            </w:r>
            <w:r>
              <w:rPr>
                <w:rStyle w:val="16"/>
                <w:rFonts w:hint="default"/>
                <w:color w:val="FF0000"/>
                <w:sz w:val="24"/>
                <w:szCs w:val="24"/>
              </w:rPr>
              <w:t>分</w:t>
            </w:r>
            <w:r>
              <w:rPr>
                <w:rStyle w:val="16"/>
                <w:rFonts w:hint="default"/>
                <w:color w:val="auto"/>
                <w:sz w:val="24"/>
                <w:szCs w:val="24"/>
              </w:rPr>
              <w:t>，满分为</w:t>
            </w:r>
            <w:r>
              <w:rPr>
                <w:rStyle w:val="16"/>
                <w:rFonts w:hint="eastAsia"/>
                <w:color w:val="FF0000"/>
                <w:sz w:val="24"/>
                <w:szCs w:val="24"/>
                <w:lang w:val="en-US" w:eastAsia="zh-CN"/>
              </w:rPr>
              <w:t>10</w:t>
            </w:r>
            <w:r>
              <w:rPr>
                <w:rStyle w:val="16"/>
                <w:rFonts w:hint="default"/>
                <w:color w:val="FF0000"/>
                <w:sz w:val="24"/>
                <w:szCs w:val="24"/>
              </w:rPr>
              <w:t>分</w:t>
            </w:r>
            <w:r>
              <w:rPr>
                <w:rStyle w:val="16"/>
                <w:rFonts w:hint="default"/>
                <w:color w:val="auto"/>
                <w:sz w:val="24"/>
                <w:szCs w:val="24"/>
              </w:rPr>
              <w:t>。（1）ISO9001 质量管理体系认证证书；</w:t>
            </w:r>
            <w:r>
              <w:rPr>
                <w:rStyle w:val="16"/>
                <w:rFonts w:hint="default"/>
                <w:color w:val="000000" w:themeColor="text1"/>
                <w:sz w:val="24"/>
                <w:szCs w:val="24"/>
                <w14:textFill>
                  <w14:solidFill>
                    <w14:schemeClr w14:val="tx1"/>
                  </w14:solidFill>
                </w14:textFill>
              </w:rPr>
              <w:t>（2）ISO14001环境管理体系认证证书；（3）ISO45001职业健康安全管理体系认证证书；（4）ISO/IEC27001信息安全管理体系认证证书（5）</w:t>
            </w:r>
            <w:r>
              <w:rPr>
                <w:rStyle w:val="16"/>
                <w:rFonts w:hint="default"/>
                <w:color w:val="auto"/>
                <w:sz w:val="24"/>
                <w:szCs w:val="24"/>
              </w:rPr>
              <w:t>符合GB/T20647.9 标准的物业服务认证证书。【注：需同时提供以上证书复印件及及国家认证认可监督管理委员的“全国认证认可信息公共服务平台”（http://cx.cnca.cn）查询结果截图，以上认证体系需在有效期内且认证范围必须包含“物业管理”方可有效， 已暂停、失效或撤销的不得分， 不提供不得分。】</w:t>
            </w:r>
          </w:p>
        </w:tc>
        <w:tc>
          <w:tcPr>
            <w:tcW w:w="50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581"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560" w:lineRule="exact"/>
              <w:jc w:val="center"/>
              <w:textAlignment w:val="auto"/>
              <w:rPr>
                <w:rFonts w:hint="default" w:ascii="宋体" w:hAnsi="宋体" w:eastAsia="宋体" w:cs="宋体"/>
                <w:kern w:val="0"/>
                <w:sz w:val="24"/>
                <w:lang w:val="en-US" w:eastAsia="zh-CN" w:bidi="ar"/>
              </w:rPr>
            </w:pPr>
            <w:r>
              <w:rPr>
                <w:rFonts w:hint="eastAsia" w:ascii="宋体" w:hAnsi="宋体" w:eastAsia="宋体" w:cs="宋体"/>
                <w:kern w:val="0"/>
                <w:sz w:val="24"/>
                <w:lang w:val="en-US" w:eastAsia="zh-CN" w:bidi="ar"/>
              </w:rPr>
              <w:t>5</w:t>
            </w:r>
          </w:p>
        </w:tc>
        <w:tc>
          <w:tcPr>
            <w:tcW w:w="1866"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560" w:lineRule="exact"/>
              <w:jc w:val="center"/>
              <w:textAlignment w:val="auto"/>
              <w:rPr>
                <w:rFonts w:hint="eastAsia" w:ascii="宋体" w:hAnsi="宋体" w:cs="宋体"/>
                <w:kern w:val="0"/>
                <w:sz w:val="24"/>
                <w:lang w:bidi="ar"/>
              </w:rPr>
            </w:pPr>
            <w:r>
              <w:rPr>
                <w:rFonts w:hint="eastAsia" w:ascii="宋体" w:hAnsi="宋体" w:cs="宋体"/>
                <w:kern w:val="0"/>
                <w:sz w:val="24"/>
                <w:lang w:bidi="ar"/>
              </w:rPr>
              <w:t>价格</w:t>
            </w:r>
          </w:p>
        </w:tc>
        <w:tc>
          <w:tcPr>
            <w:tcW w:w="58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560" w:lineRule="exact"/>
              <w:jc w:val="center"/>
              <w:textAlignment w:val="auto"/>
              <w:rPr>
                <w:rFonts w:hint="default" w:ascii="宋体" w:hAnsi="宋体" w:eastAsia="宋体" w:cs="宋体"/>
                <w:kern w:val="0"/>
                <w:sz w:val="24"/>
                <w:lang w:val="en-US" w:eastAsia="zh-CN" w:bidi="ar"/>
              </w:rPr>
            </w:pPr>
            <w:r>
              <w:rPr>
                <w:rFonts w:hint="eastAsia" w:ascii="宋体" w:hAnsi="宋体" w:cs="宋体"/>
                <w:kern w:val="0"/>
                <w:sz w:val="24"/>
                <w:lang w:val="en-US" w:eastAsia="zh-CN" w:bidi="ar"/>
              </w:rPr>
              <w:t>10</w:t>
            </w:r>
          </w:p>
        </w:tc>
        <w:tc>
          <w:tcPr>
            <w:tcW w:w="7589"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560" w:lineRule="exact"/>
              <w:jc w:val="left"/>
              <w:textAlignment w:val="auto"/>
              <w:rPr>
                <w:rFonts w:hint="eastAsia" w:ascii="宋体" w:hAnsi="宋体"/>
                <w:sz w:val="24"/>
              </w:rPr>
            </w:pPr>
            <w:r>
              <w:rPr>
                <w:rFonts w:hint="eastAsia" w:ascii="宋体" w:hAnsi="宋体"/>
                <w:sz w:val="24"/>
              </w:rPr>
              <w:t>价格最低的报价为评分基准价，其价格分为满分（得</w:t>
            </w:r>
            <w:r>
              <w:rPr>
                <w:rFonts w:hint="eastAsia" w:ascii="宋体" w:hAnsi="宋体"/>
                <w:sz w:val="24"/>
                <w:lang w:val="en-US" w:eastAsia="zh-CN"/>
              </w:rPr>
              <w:t>1</w:t>
            </w:r>
            <w:r>
              <w:rPr>
                <w:rFonts w:hint="eastAsia" w:ascii="宋体" w:hAnsi="宋体"/>
                <w:sz w:val="24"/>
              </w:rPr>
              <w:t>0分）。其他供应商的价格分统一按照下列公式计算：价格得分＝（评分基准价/供应商报价项目）×价格满分基数。</w:t>
            </w:r>
          </w:p>
        </w:tc>
        <w:tc>
          <w:tcPr>
            <w:tcW w:w="50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widowControl/>
              <w:kinsoku/>
              <w:wordWrap/>
              <w:overflowPunct/>
              <w:topLinePunct w:val="0"/>
              <w:bidi w:val="0"/>
              <w:spacing w:before="100" w:beforeAutospacing="1" w:after="100" w:afterAutospacing="1" w:line="56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581"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sz w:val="24"/>
                <w:lang w:val="en-US" w:eastAsia="zh-CN"/>
              </w:rPr>
            </w:pPr>
            <w:r>
              <w:rPr>
                <w:rFonts w:hint="eastAsia" w:ascii="宋体" w:hAnsi="宋体" w:eastAsia="宋体" w:cs="宋体"/>
                <w:sz w:val="24"/>
                <w:lang w:val="en-US" w:eastAsia="zh-CN"/>
              </w:rPr>
              <w:t>6</w:t>
            </w:r>
          </w:p>
        </w:tc>
        <w:tc>
          <w:tcPr>
            <w:tcW w:w="1866"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b/>
                <w:bCs/>
                <w:sz w:val="24"/>
                <w:lang w:val="en-GB"/>
              </w:rPr>
            </w:pPr>
            <w:r>
              <w:rPr>
                <w:rFonts w:hint="eastAsia" w:ascii="宋体" w:hAnsi="宋体" w:cs="宋体"/>
                <w:sz w:val="24"/>
              </w:rPr>
              <w:t>合计</w:t>
            </w:r>
          </w:p>
        </w:tc>
        <w:tc>
          <w:tcPr>
            <w:tcW w:w="58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cs="宋体"/>
                <w:b/>
                <w:bCs/>
                <w:sz w:val="24"/>
                <w:lang w:val="en-GB"/>
              </w:rPr>
            </w:pPr>
            <w:r>
              <w:rPr>
                <w:rFonts w:hint="eastAsia" w:ascii="宋体" w:hAnsi="宋体" w:cs="宋体"/>
                <w:sz w:val="24"/>
                <w:lang w:val="en-US" w:eastAsia="zh-CN"/>
              </w:rPr>
              <w:t>10</w:t>
            </w:r>
            <w:r>
              <w:rPr>
                <w:rFonts w:hint="eastAsia" w:ascii="宋体" w:hAnsi="宋体" w:cs="宋体"/>
                <w:sz w:val="24"/>
              </w:rPr>
              <w:t>0</w:t>
            </w:r>
          </w:p>
        </w:tc>
        <w:tc>
          <w:tcPr>
            <w:tcW w:w="7589"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cs="宋体"/>
                <w:sz w:val="24"/>
              </w:rPr>
            </w:pPr>
          </w:p>
        </w:tc>
        <w:tc>
          <w:tcPr>
            <w:tcW w:w="50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pageBreakBefore w:val="0"/>
              <w:kinsoku/>
              <w:wordWrap/>
              <w:overflowPunct/>
              <w:topLinePunct w:val="0"/>
              <w:bidi w:val="0"/>
              <w:spacing w:line="560" w:lineRule="exact"/>
              <w:jc w:val="center"/>
              <w:rPr>
                <w:rFonts w:hint="eastAsia" w:ascii="宋体" w:hAnsi="宋体" w:cs="宋体"/>
                <w:sz w:val="24"/>
              </w:rPr>
            </w:pPr>
          </w:p>
        </w:tc>
      </w:tr>
    </w:tbl>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225" w:beforeAutospacing="0" w:after="0" w:afterAutospacing="0" w:line="560" w:lineRule="exact"/>
        <w:ind w:left="0" w:right="0" w:firstLine="640" w:firstLineChars="200"/>
        <w:jc w:val="both"/>
        <w:rPr>
          <w:rFonts w:ascii="Calibri" w:hAnsi="Calibri" w:cs="Calibri"/>
          <w:sz w:val="32"/>
          <w:szCs w:val="32"/>
        </w:rPr>
      </w:pPr>
      <w:r>
        <w:rPr>
          <w:rFonts w:ascii="仿宋_GB2312" w:hAnsi="宋体" w:eastAsia="仿宋_GB2312" w:cs="仿宋_GB2312"/>
          <w:color w:val="000000"/>
          <w:sz w:val="32"/>
          <w:szCs w:val="32"/>
          <w:lang w:eastAsia="zh-CN"/>
        </w:rPr>
        <w:t>备注：</w:t>
      </w:r>
      <w:r>
        <w:rPr>
          <w:rFonts w:hint="eastAsia" w:ascii="仿宋_GB2312" w:hAnsi="Calibri" w:eastAsia="仿宋_GB2312" w:cs="仿宋_GB2312"/>
          <w:sz w:val="32"/>
          <w:szCs w:val="32"/>
          <w:lang w:val="en-US"/>
        </w:rPr>
        <w:t>1.</w:t>
      </w:r>
      <w:r>
        <w:rPr>
          <w:rFonts w:hint="eastAsia" w:ascii="仿宋_GB2312" w:hAnsi="宋体" w:eastAsia="仿宋_GB2312" w:cs="仿宋_GB2312"/>
          <w:sz w:val="32"/>
          <w:szCs w:val="32"/>
          <w:lang w:eastAsia="zh-CN"/>
        </w:rPr>
        <w:t>资格审查项目为一票否决项，一项不通过</w:t>
      </w:r>
      <w:r>
        <w:rPr>
          <w:rFonts w:hint="eastAsia" w:ascii="仿宋_GB2312" w:hAnsi="Calibri" w:eastAsia="仿宋_GB2312" w:cs="仿宋_GB2312"/>
          <w:color w:val="000000"/>
          <w:sz w:val="32"/>
          <w:szCs w:val="32"/>
        </w:rPr>
        <w:t>不得进入下一步详细评审。</w:t>
      </w:r>
      <w:r>
        <w:rPr>
          <w:rFonts w:hint="eastAsia" w:ascii="仿宋_GB2312" w:hAnsi="Calibri" w:eastAsia="仿宋_GB2312" w:cs="仿宋_GB2312"/>
          <w:color w:val="000000"/>
          <w:sz w:val="32"/>
          <w:szCs w:val="32"/>
          <w:lang w:val="en-US"/>
        </w:rPr>
        <w:t>2.</w:t>
      </w:r>
      <w:r>
        <w:rPr>
          <w:rFonts w:hint="eastAsia" w:ascii="仿宋_GB2312" w:hAnsi="宋体" w:eastAsia="仿宋_GB2312" w:cs="仿宋_GB2312"/>
          <w:color w:val="000000"/>
          <w:sz w:val="32"/>
          <w:szCs w:val="32"/>
          <w:lang w:eastAsia="zh-CN"/>
        </w:rPr>
        <w:t>如通过的公司少于</w:t>
      </w:r>
      <w:r>
        <w:rPr>
          <w:rFonts w:hint="eastAsia" w:ascii="仿宋_GB2312" w:hAnsi="Calibri" w:eastAsia="仿宋_GB2312" w:cs="仿宋_GB2312"/>
          <w:color w:val="000000"/>
          <w:sz w:val="32"/>
          <w:szCs w:val="32"/>
          <w:lang w:val="en-US"/>
        </w:rPr>
        <w:t>3</w:t>
      </w:r>
      <w:r>
        <w:rPr>
          <w:rFonts w:hint="eastAsia" w:ascii="仿宋_GB2312" w:hAnsi="宋体" w:eastAsia="仿宋_GB2312" w:cs="仿宋_GB2312"/>
          <w:color w:val="000000"/>
          <w:sz w:val="32"/>
          <w:szCs w:val="32"/>
          <w:lang w:eastAsia="zh-CN"/>
        </w:rPr>
        <w:t>家视为废标，本轮评选终止。</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pacing w:before="225" w:beforeAutospacing="0" w:after="225" w:afterAutospacing="0" w:line="560" w:lineRule="exact"/>
        <w:ind w:left="0" w:right="0"/>
        <w:jc w:val="both"/>
      </w:pPr>
    </w:p>
    <w:p>
      <w:pPr>
        <w:pStyle w:val="3"/>
        <w:keepNext w:val="0"/>
        <w:keepLines w:val="0"/>
        <w:pageBreakBefore w:val="0"/>
        <w:kinsoku/>
        <w:wordWrap/>
        <w:overflowPunct/>
        <w:topLinePunct w:val="0"/>
        <w:bidi w:val="0"/>
        <w:spacing w:line="560" w:lineRule="exact"/>
        <w:rPr>
          <w:rFonts w:hint="default"/>
          <w:lang w:val="en-US" w:eastAsia="zh-CN"/>
        </w:rPr>
      </w:pPr>
    </w:p>
    <w:sectPr>
      <w:footerReference r:id="rId3" w:type="default"/>
      <w:pgSz w:w="11906" w:h="16838"/>
      <w:pgMar w:top="1984" w:right="1474" w:bottom="1417"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roma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创艺简标宋">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FC213F"/>
    <w:rsid w:val="00403E99"/>
    <w:rsid w:val="00FD2E01"/>
    <w:rsid w:val="030E78AF"/>
    <w:rsid w:val="037F2081"/>
    <w:rsid w:val="04766D7F"/>
    <w:rsid w:val="04AA1D6E"/>
    <w:rsid w:val="050970EE"/>
    <w:rsid w:val="06FF3E51"/>
    <w:rsid w:val="07C36BEE"/>
    <w:rsid w:val="08DB1DC3"/>
    <w:rsid w:val="0A145310"/>
    <w:rsid w:val="0A4D3A27"/>
    <w:rsid w:val="0BDC33AE"/>
    <w:rsid w:val="0C5879BA"/>
    <w:rsid w:val="0EA31B3D"/>
    <w:rsid w:val="0ED07A66"/>
    <w:rsid w:val="0F193D13"/>
    <w:rsid w:val="0F6658B7"/>
    <w:rsid w:val="0FD82753"/>
    <w:rsid w:val="10917746"/>
    <w:rsid w:val="113B2A33"/>
    <w:rsid w:val="12824CA7"/>
    <w:rsid w:val="13EB2FFB"/>
    <w:rsid w:val="162C6324"/>
    <w:rsid w:val="1646411D"/>
    <w:rsid w:val="17F50DEE"/>
    <w:rsid w:val="1BC03380"/>
    <w:rsid w:val="1DFF61FF"/>
    <w:rsid w:val="1E97204E"/>
    <w:rsid w:val="1EBC1B90"/>
    <w:rsid w:val="1F4F7317"/>
    <w:rsid w:val="206A4A25"/>
    <w:rsid w:val="21284F18"/>
    <w:rsid w:val="220822B5"/>
    <w:rsid w:val="23617624"/>
    <w:rsid w:val="237D4CF8"/>
    <w:rsid w:val="241F0D78"/>
    <w:rsid w:val="243428A4"/>
    <w:rsid w:val="2571444E"/>
    <w:rsid w:val="264905C2"/>
    <w:rsid w:val="26F44879"/>
    <w:rsid w:val="274136AF"/>
    <w:rsid w:val="297811AF"/>
    <w:rsid w:val="2AF02A1B"/>
    <w:rsid w:val="2D22281E"/>
    <w:rsid w:val="318C133B"/>
    <w:rsid w:val="31D13232"/>
    <w:rsid w:val="342009BA"/>
    <w:rsid w:val="34B71409"/>
    <w:rsid w:val="34FE6802"/>
    <w:rsid w:val="35E64EB0"/>
    <w:rsid w:val="362043CD"/>
    <w:rsid w:val="36AC54BF"/>
    <w:rsid w:val="387363F9"/>
    <w:rsid w:val="39126C0A"/>
    <w:rsid w:val="3C36424E"/>
    <w:rsid w:val="3D8F26C9"/>
    <w:rsid w:val="3DFA0E26"/>
    <w:rsid w:val="3EC4372E"/>
    <w:rsid w:val="3FC25EF5"/>
    <w:rsid w:val="427922FB"/>
    <w:rsid w:val="43C672F5"/>
    <w:rsid w:val="44594C21"/>
    <w:rsid w:val="45466C73"/>
    <w:rsid w:val="469F2876"/>
    <w:rsid w:val="473D13EF"/>
    <w:rsid w:val="48735ADC"/>
    <w:rsid w:val="490A60B9"/>
    <w:rsid w:val="4A610C21"/>
    <w:rsid w:val="4A967B43"/>
    <w:rsid w:val="4B160EAB"/>
    <w:rsid w:val="4B7D76BE"/>
    <w:rsid w:val="4DE739D7"/>
    <w:rsid w:val="4EBF1E74"/>
    <w:rsid w:val="4F906DDD"/>
    <w:rsid w:val="51786E62"/>
    <w:rsid w:val="53092100"/>
    <w:rsid w:val="530A1816"/>
    <w:rsid w:val="53E222AC"/>
    <w:rsid w:val="55AE702F"/>
    <w:rsid w:val="562A57DB"/>
    <w:rsid w:val="57745032"/>
    <w:rsid w:val="58AB1B2B"/>
    <w:rsid w:val="59F60896"/>
    <w:rsid w:val="5AE77C17"/>
    <w:rsid w:val="5B2A2A9F"/>
    <w:rsid w:val="5DFB14DD"/>
    <w:rsid w:val="5E554C0F"/>
    <w:rsid w:val="5E8C6AFC"/>
    <w:rsid w:val="600A0B0F"/>
    <w:rsid w:val="626616A6"/>
    <w:rsid w:val="63383F66"/>
    <w:rsid w:val="64245D92"/>
    <w:rsid w:val="645E10CF"/>
    <w:rsid w:val="664106BE"/>
    <w:rsid w:val="679F4EAD"/>
    <w:rsid w:val="682749D4"/>
    <w:rsid w:val="68321FD0"/>
    <w:rsid w:val="694D29A7"/>
    <w:rsid w:val="69EE5613"/>
    <w:rsid w:val="6A2F270A"/>
    <w:rsid w:val="6AA41295"/>
    <w:rsid w:val="6B73551C"/>
    <w:rsid w:val="6CC36AA2"/>
    <w:rsid w:val="6D771567"/>
    <w:rsid w:val="6DEC6DF9"/>
    <w:rsid w:val="6FAA1526"/>
    <w:rsid w:val="6FFC213F"/>
    <w:rsid w:val="713135B6"/>
    <w:rsid w:val="71326145"/>
    <w:rsid w:val="75B605F1"/>
    <w:rsid w:val="76956AC2"/>
    <w:rsid w:val="773A1CF0"/>
    <w:rsid w:val="776A6F79"/>
    <w:rsid w:val="79AB376A"/>
    <w:rsid w:val="7B266621"/>
    <w:rsid w:val="7B57012D"/>
    <w:rsid w:val="7BB165ED"/>
    <w:rsid w:val="7C0564F0"/>
    <w:rsid w:val="7F030AD8"/>
    <w:rsid w:val="7F7B4893"/>
    <w:rsid w:val="7FC071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after="120" w:afterLines="0" w:line="240" w:lineRule="auto"/>
      <w:ind w:firstLine="420" w:firstLineChars="100"/>
    </w:pPr>
    <w:rPr>
      <w:szCs w:val="24"/>
    </w:rPr>
  </w:style>
  <w:style w:type="paragraph" w:styleId="3">
    <w:name w:val="Body Text"/>
    <w:basedOn w:val="1"/>
    <w:next w:val="4"/>
    <w:qFormat/>
    <w:uiPriority w:val="0"/>
    <w:pPr>
      <w:spacing w:after="120"/>
    </w:pPr>
  </w:style>
  <w:style w:type="paragraph" w:styleId="4">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6">
    <w:name w:val="Normal Indent"/>
    <w:basedOn w:val="1"/>
    <w:qFormat/>
    <w:uiPriority w:val="0"/>
    <w:pPr>
      <w:ind w:firstLine="420" w:firstLineChars="200"/>
    </w:pPr>
  </w:style>
  <w:style w:type="paragraph" w:styleId="7">
    <w:name w:val="caption"/>
    <w:basedOn w:val="1"/>
    <w:next w:val="1"/>
    <w:qFormat/>
    <w:uiPriority w:val="0"/>
    <w:rPr>
      <w:rFonts w:ascii="Arial" w:hAnsi="Arial" w:eastAsia="黑体" w:cs="Arial"/>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
    <w:name w:val="font01"/>
    <w:basedOn w:val="13"/>
    <w:qFormat/>
    <w:uiPriority w:val="0"/>
    <w:rPr>
      <w:rFonts w:ascii="Calibri" w:hAnsi="Calibri" w:cs="Calibri"/>
      <w:color w:val="000000"/>
      <w:sz w:val="21"/>
      <w:szCs w:val="21"/>
      <w:u w:val="none"/>
    </w:rPr>
  </w:style>
  <w:style w:type="table" w:customStyle="1" w:styleId="15">
    <w:name w:val="Table Normal"/>
    <w:semiHidden/>
    <w:unhideWhenUsed/>
    <w:qFormat/>
    <w:uiPriority w:val="0"/>
    <w:rPr>
      <w:rFonts w:ascii="Arial" w:hAnsi="Arial" w:cs="Arial"/>
      <w:snapToGrid w:val="0"/>
      <w:color w:val="000000"/>
      <w:kern w:val="0"/>
      <w:szCs w:val="21"/>
    </w:rPr>
    <w:tblPr>
      <w:tblCellMar>
        <w:top w:w="0" w:type="dxa"/>
        <w:left w:w="0" w:type="dxa"/>
        <w:bottom w:w="0" w:type="dxa"/>
        <w:right w:w="0" w:type="dxa"/>
      </w:tblCellMar>
    </w:tblPr>
  </w:style>
  <w:style w:type="character" w:customStyle="1" w:styleId="16">
    <w:name w:val="fontstyle01"/>
    <w:qFormat/>
    <w:uiPriority w:val="0"/>
    <w:rPr>
      <w:rFonts w:hint="eastAsia" w:ascii="宋体" w:hAnsi="宋体" w:eastAsia="宋体"/>
      <w:color w:val="666666"/>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2020-02-18T07:18:00Z</dcterms:created>
  <dc:creator>Administrator</dc:creator>
  <cp:lastModifiedBy>Administrator</cp:lastModifiedBy>
  <cp:lastPrinted>2023-04-20T02:45:00Z</cp:lastPrinted>
  <dcterms:modified xsi:type="dcterms:W3CDTF">2023-04-20T04:40:15Z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