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ind w:left="0"/>
        <w:jc w:val="center"/>
        <w:rPr>
          <w:rFonts w:ascii="宋体" w:hAnsi="宋体" w:cs="宋体"/>
          <w:b/>
          <w:bCs/>
          <w:spacing w:val="30"/>
          <w:sz w:val="52"/>
          <w:szCs w:val="52"/>
        </w:rPr>
      </w:pPr>
      <w:r>
        <w:rPr>
          <w:rFonts w:hint="eastAsia" w:ascii="宋体" w:hAnsi="宋体" w:cs="宋体"/>
          <w:b/>
          <w:bCs/>
          <w:spacing w:val="30"/>
          <w:sz w:val="52"/>
          <w:szCs w:val="52"/>
        </w:rPr>
        <w:t>惠州大亚湾开发区人才安居住房</w:t>
      </w:r>
    </w:p>
    <w:p>
      <w:pPr>
        <w:spacing w:before="156"/>
        <w:jc w:val="center"/>
        <w:rPr>
          <w:rFonts w:ascii="宋体" w:cs="宋体"/>
          <w:b/>
          <w:bCs/>
          <w:sz w:val="52"/>
          <w:szCs w:val="52"/>
        </w:rPr>
      </w:pPr>
    </w:p>
    <w:p>
      <w:pPr>
        <w:spacing w:before="156"/>
        <w:jc w:val="center"/>
        <w:rPr>
          <w:rFonts w:ascii="宋体" w:hAnsi="宋体" w:cs="宋体"/>
          <w:b/>
          <w:bCs/>
          <w:sz w:val="52"/>
          <w:szCs w:val="52"/>
        </w:rPr>
      </w:pPr>
      <w:r>
        <w:rPr>
          <w:rFonts w:hint="eastAsia" w:ascii="宋体" w:hAnsi="宋体" w:cs="宋体"/>
          <w:b/>
          <w:bCs/>
          <w:sz w:val="52"/>
          <w:szCs w:val="52"/>
        </w:rPr>
        <w:t>室</w:t>
      </w:r>
    </w:p>
    <w:p>
      <w:pPr>
        <w:spacing w:before="156"/>
        <w:jc w:val="center"/>
        <w:rPr>
          <w:rFonts w:ascii="宋体" w:hAnsi="宋体" w:cs="宋体"/>
          <w:b/>
          <w:bCs/>
          <w:sz w:val="52"/>
          <w:szCs w:val="52"/>
        </w:rPr>
      </w:pPr>
      <w:r>
        <w:rPr>
          <w:rFonts w:hint="eastAsia" w:ascii="宋体" w:hAnsi="宋体" w:cs="宋体"/>
          <w:b/>
          <w:bCs/>
          <w:sz w:val="52"/>
          <w:szCs w:val="52"/>
        </w:rPr>
        <w:t>内</w:t>
      </w:r>
    </w:p>
    <w:p>
      <w:pPr>
        <w:spacing w:before="156"/>
        <w:jc w:val="center"/>
        <w:rPr>
          <w:rFonts w:ascii="宋体" w:hAnsi="宋体" w:cs="宋体"/>
          <w:b/>
          <w:bCs/>
          <w:sz w:val="52"/>
          <w:szCs w:val="52"/>
        </w:rPr>
      </w:pPr>
      <w:r>
        <w:rPr>
          <w:rFonts w:hint="eastAsia" w:ascii="宋体" w:hAnsi="宋体" w:cs="宋体"/>
          <w:b/>
          <w:bCs/>
          <w:sz w:val="52"/>
          <w:szCs w:val="52"/>
        </w:rPr>
        <w:t>装</w:t>
      </w:r>
    </w:p>
    <w:p>
      <w:pPr>
        <w:spacing w:before="156"/>
        <w:jc w:val="center"/>
        <w:rPr>
          <w:rFonts w:ascii="宋体" w:hAnsi="宋体" w:cs="宋体"/>
          <w:b/>
          <w:bCs/>
          <w:sz w:val="52"/>
          <w:szCs w:val="52"/>
        </w:rPr>
      </w:pPr>
      <w:r>
        <w:rPr>
          <w:rFonts w:hint="eastAsia" w:ascii="宋体" w:hAnsi="宋体" w:cs="宋体"/>
          <w:b/>
          <w:bCs/>
          <w:sz w:val="52"/>
          <w:szCs w:val="52"/>
        </w:rPr>
        <w:t>修</w:t>
      </w:r>
    </w:p>
    <w:p>
      <w:pPr>
        <w:spacing w:before="156"/>
        <w:jc w:val="center"/>
        <w:rPr>
          <w:rFonts w:ascii="宋体" w:hAnsi="宋体" w:cs="宋体"/>
          <w:b/>
          <w:bCs/>
          <w:sz w:val="52"/>
          <w:szCs w:val="52"/>
        </w:rPr>
      </w:pPr>
      <w:r>
        <w:rPr>
          <w:rFonts w:hint="eastAsia" w:ascii="宋体" w:hAnsi="宋体" w:cs="宋体"/>
          <w:b/>
          <w:bCs/>
          <w:sz w:val="52"/>
          <w:szCs w:val="52"/>
        </w:rPr>
        <w:t>标</w:t>
      </w:r>
    </w:p>
    <w:p>
      <w:pPr>
        <w:spacing w:before="156"/>
        <w:jc w:val="center"/>
        <w:rPr>
          <w:rFonts w:ascii="宋体" w:hAnsi="宋体" w:cs="宋体"/>
          <w:b/>
          <w:bCs/>
          <w:sz w:val="52"/>
          <w:szCs w:val="52"/>
        </w:rPr>
      </w:pPr>
      <w:r>
        <w:rPr>
          <w:rFonts w:hint="eastAsia" w:ascii="宋体" w:hAnsi="宋体" w:cs="宋体"/>
          <w:b/>
          <w:bCs/>
          <w:sz w:val="52"/>
          <w:szCs w:val="52"/>
        </w:rPr>
        <w:t>准</w:t>
      </w:r>
    </w:p>
    <w:p>
      <w:pPr>
        <w:spacing w:before="156"/>
        <w:jc w:val="center"/>
        <w:rPr>
          <w:rFonts w:ascii="宋体" w:hAnsi="宋体" w:cs="宋体"/>
          <w:b/>
          <w:bCs/>
          <w:sz w:val="52"/>
          <w:szCs w:val="52"/>
        </w:rPr>
      </w:pPr>
      <w:r>
        <w:rPr>
          <w:rFonts w:hint="eastAsia" w:ascii="宋体" w:hAnsi="宋体" w:cs="宋体"/>
          <w:b/>
          <w:bCs/>
          <w:sz w:val="52"/>
          <w:szCs w:val="52"/>
        </w:rPr>
        <w:t>指</w:t>
      </w:r>
    </w:p>
    <w:p>
      <w:pPr>
        <w:spacing w:before="156"/>
        <w:jc w:val="center"/>
        <w:rPr>
          <w:rFonts w:ascii="宋体" w:hAnsi="宋体" w:cs="宋体"/>
          <w:b/>
          <w:bCs/>
          <w:sz w:val="52"/>
          <w:szCs w:val="52"/>
        </w:rPr>
      </w:pPr>
      <w:r>
        <w:rPr>
          <w:rFonts w:hint="eastAsia" w:ascii="宋体" w:hAnsi="宋体" w:cs="宋体"/>
          <w:b/>
          <w:bCs/>
          <w:sz w:val="52"/>
          <w:szCs w:val="52"/>
        </w:rPr>
        <w:t>引</w:t>
      </w:r>
    </w:p>
    <w:p>
      <w:pPr>
        <w:spacing w:before="156"/>
        <w:ind w:left="0"/>
        <w:jc w:val="center"/>
        <w:rPr>
          <w:rFonts w:ascii="仿宋_GB2312" w:eastAsia="仿宋_GB2312"/>
          <w:b/>
          <w:bCs/>
          <w:sz w:val="36"/>
          <w:szCs w:val="36"/>
        </w:rPr>
      </w:pPr>
      <w:r>
        <w:rPr>
          <w:rFonts w:hint="eastAsia" w:ascii="宋体" w:hAnsi="宋体" w:cs="宋体"/>
          <w:b/>
          <w:bCs/>
          <w:sz w:val="36"/>
          <w:szCs w:val="36"/>
        </w:rPr>
        <w:t xml:space="preserve">  （2020版）</w:t>
      </w:r>
    </w:p>
    <w:p>
      <w:pPr>
        <w:spacing w:before="156" w:line="15" w:lineRule="auto"/>
      </w:pPr>
    </w:p>
    <w:p>
      <w:pPr>
        <w:spacing w:before="156" w:line="15" w:lineRule="auto"/>
        <w:ind w:left="0"/>
      </w:pPr>
    </w:p>
    <w:p>
      <w:pPr>
        <w:spacing w:before="156" w:line="15" w:lineRule="auto"/>
        <w:ind w:left="0"/>
      </w:pPr>
    </w:p>
    <w:p>
      <w:pPr>
        <w:spacing w:before="156" w:line="15" w:lineRule="auto"/>
        <w:ind w:left="0"/>
      </w:pPr>
    </w:p>
    <w:p>
      <w:pPr>
        <w:spacing w:before="156" w:line="360" w:lineRule="auto"/>
        <w:jc w:val="center"/>
        <w:rPr>
          <w:rFonts w:ascii="仿宋_GB2312" w:eastAsia="仿宋_GB2312"/>
          <w:b/>
          <w:bCs/>
          <w:sz w:val="36"/>
          <w:szCs w:val="36"/>
        </w:rPr>
      </w:pPr>
      <w:r>
        <w:rPr>
          <w:rFonts w:hint="eastAsia" w:ascii="仿宋_GB2312" w:eastAsia="仿宋_GB2312"/>
          <w:b/>
          <w:bCs/>
          <w:sz w:val="36"/>
          <w:szCs w:val="36"/>
        </w:rPr>
        <w:t>目录</w:t>
      </w:r>
    </w:p>
    <w:p>
      <w:pPr>
        <w:spacing w:before="156" w:line="360" w:lineRule="auto"/>
        <w:jc w:val="center"/>
        <w:rPr>
          <w:rFonts w:ascii="仿宋_GB2312" w:eastAsia="仿宋_GB2312"/>
          <w:b/>
          <w:bCs/>
          <w:sz w:val="36"/>
          <w:szCs w:val="36"/>
        </w:rPr>
      </w:pPr>
    </w:p>
    <w:p>
      <w:pPr>
        <w:spacing w:before="156"/>
        <w:jc w:val="center"/>
        <w:rPr>
          <w:b/>
          <w:bCs/>
          <w:sz w:val="10"/>
          <w:szCs w:val="10"/>
        </w:rPr>
      </w:pPr>
    </w:p>
    <w:p>
      <w:pPr>
        <w:spacing w:beforeLines="0" w:line="600" w:lineRule="exact"/>
        <w:ind w:left="0"/>
        <w:jc w:val="left"/>
        <w:rPr>
          <w:rFonts w:ascii="仿宋_GB2312" w:eastAsia="仿宋_GB2312"/>
          <w:bCs/>
          <w:sz w:val="32"/>
          <w:szCs w:val="32"/>
        </w:rPr>
      </w:pPr>
      <w:r>
        <w:rPr>
          <w:rFonts w:hint="eastAsia" w:ascii="仿宋_GB2312" w:eastAsia="仿宋_GB2312"/>
          <w:bCs/>
          <w:sz w:val="32"/>
          <w:szCs w:val="32"/>
        </w:rPr>
        <w:t>1 设计说明及依据………………………………………1</w:t>
      </w:r>
    </w:p>
    <w:p>
      <w:pPr>
        <w:spacing w:beforeLines="0" w:line="600" w:lineRule="exact"/>
        <w:ind w:left="0"/>
        <w:jc w:val="left"/>
        <w:rPr>
          <w:rFonts w:ascii="仿宋_GB2312" w:eastAsia="仿宋_GB2312"/>
          <w:bCs/>
          <w:sz w:val="32"/>
          <w:szCs w:val="32"/>
        </w:rPr>
      </w:pPr>
      <w:r>
        <w:rPr>
          <w:rFonts w:hint="eastAsia" w:ascii="仿宋_GB2312" w:eastAsia="仿宋_GB2312"/>
          <w:bCs/>
          <w:sz w:val="32"/>
          <w:szCs w:val="32"/>
        </w:rPr>
        <w:t>2 设计要点及基本施工要求……………………………</w:t>
      </w:r>
      <w:r>
        <w:rPr>
          <w:rFonts w:ascii="仿宋_GB2312" w:eastAsia="仿宋_GB2312"/>
          <w:bCs/>
          <w:sz w:val="32"/>
          <w:szCs w:val="32"/>
        </w:rPr>
        <w:t>4</w:t>
      </w:r>
    </w:p>
    <w:p>
      <w:pPr>
        <w:spacing w:beforeLines="0" w:line="600" w:lineRule="exact"/>
        <w:ind w:left="0"/>
        <w:jc w:val="left"/>
        <w:rPr>
          <w:rFonts w:ascii="仿宋_GB2312" w:eastAsia="仿宋_GB2312"/>
          <w:bCs/>
          <w:sz w:val="32"/>
          <w:szCs w:val="32"/>
        </w:rPr>
      </w:pPr>
      <w:r>
        <w:rPr>
          <w:rFonts w:hint="eastAsia" w:ascii="仿宋_GB2312" w:eastAsia="仿宋_GB2312"/>
          <w:bCs/>
          <w:sz w:val="32"/>
          <w:szCs w:val="32"/>
        </w:rPr>
        <w:t>3 室内装修电气要求……………………………………</w:t>
      </w:r>
      <w:r>
        <w:rPr>
          <w:rFonts w:ascii="仿宋_GB2312" w:eastAsia="仿宋_GB2312"/>
          <w:bCs/>
          <w:sz w:val="32"/>
          <w:szCs w:val="32"/>
        </w:rPr>
        <w:t>9</w:t>
      </w:r>
    </w:p>
    <w:p>
      <w:pPr>
        <w:spacing w:beforeLines="0" w:line="600" w:lineRule="exact"/>
        <w:ind w:left="0"/>
        <w:jc w:val="left"/>
        <w:rPr>
          <w:rFonts w:ascii="仿宋_GB2312" w:eastAsia="仿宋_GB2312"/>
          <w:bCs/>
          <w:sz w:val="32"/>
          <w:szCs w:val="32"/>
        </w:rPr>
      </w:pPr>
      <w:r>
        <w:rPr>
          <w:rFonts w:hint="eastAsia" w:ascii="仿宋_GB2312" w:eastAsia="仿宋_GB2312"/>
          <w:bCs/>
          <w:sz w:val="32"/>
          <w:szCs w:val="32"/>
        </w:rPr>
        <w:t>4 室内装修防火要求……………………………………</w:t>
      </w:r>
      <w:r>
        <w:rPr>
          <w:rFonts w:ascii="仿宋_GB2312" w:eastAsia="仿宋_GB2312"/>
          <w:bCs/>
          <w:sz w:val="32"/>
          <w:szCs w:val="32"/>
        </w:rPr>
        <w:t>13</w:t>
      </w:r>
    </w:p>
    <w:p>
      <w:pPr>
        <w:spacing w:beforeLines="0" w:line="600" w:lineRule="exact"/>
        <w:ind w:left="0"/>
        <w:jc w:val="left"/>
        <w:rPr>
          <w:rFonts w:ascii="仿宋_GB2312" w:eastAsia="仿宋_GB2312"/>
          <w:bCs/>
          <w:sz w:val="32"/>
          <w:szCs w:val="32"/>
        </w:rPr>
      </w:pPr>
      <w:r>
        <w:rPr>
          <w:rFonts w:ascii="仿宋_GB2312" w:eastAsia="仿宋_GB2312"/>
          <w:bCs/>
          <w:sz w:val="32"/>
          <w:szCs w:val="32"/>
        </w:rPr>
        <w:t>5</w:t>
      </w:r>
      <w:r>
        <w:rPr>
          <w:rFonts w:hint="eastAsia" w:ascii="仿宋_GB2312" w:eastAsia="仿宋_GB2312"/>
          <w:bCs/>
          <w:sz w:val="32"/>
          <w:szCs w:val="32"/>
        </w:rPr>
        <w:t xml:space="preserve"> 客厅和餐厅……………………………………………</w:t>
      </w:r>
      <w:r>
        <w:rPr>
          <w:rFonts w:ascii="仿宋_GB2312" w:eastAsia="仿宋_GB2312"/>
          <w:bCs/>
          <w:sz w:val="32"/>
          <w:szCs w:val="32"/>
        </w:rPr>
        <w:t>13</w:t>
      </w:r>
    </w:p>
    <w:p>
      <w:pPr>
        <w:spacing w:beforeLines="0" w:line="600" w:lineRule="exact"/>
        <w:ind w:left="0"/>
        <w:jc w:val="left"/>
        <w:rPr>
          <w:rFonts w:ascii="仿宋_GB2312" w:eastAsia="仿宋_GB2312"/>
          <w:bCs/>
          <w:sz w:val="32"/>
          <w:szCs w:val="32"/>
        </w:rPr>
      </w:pPr>
      <w:r>
        <w:rPr>
          <w:rFonts w:ascii="仿宋_GB2312" w:eastAsia="仿宋_GB2312"/>
          <w:bCs/>
          <w:sz w:val="32"/>
          <w:szCs w:val="32"/>
        </w:rPr>
        <w:t>6</w:t>
      </w:r>
      <w:r>
        <w:rPr>
          <w:rFonts w:hint="eastAsia" w:ascii="仿宋_GB2312" w:eastAsia="仿宋_GB2312"/>
          <w:bCs/>
          <w:sz w:val="32"/>
          <w:szCs w:val="32"/>
        </w:rPr>
        <w:t xml:space="preserve">主卧和卧室…………………………………………… </w:t>
      </w:r>
      <w:r>
        <w:rPr>
          <w:rFonts w:ascii="仿宋_GB2312" w:eastAsia="仿宋_GB2312"/>
          <w:bCs/>
          <w:sz w:val="32"/>
          <w:szCs w:val="32"/>
        </w:rPr>
        <w:t>15</w:t>
      </w:r>
    </w:p>
    <w:p>
      <w:pPr>
        <w:spacing w:beforeLines="0" w:line="600" w:lineRule="exact"/>
        <w:ind w:left="0"/>
        <w:jc w:val="left"/>
        <w:rPr>
          <w:rFonts w:ascii="仿宋_GB2312" w:eastAsia="仿宋_GB2312"/>
          <w:bCs/>
          <w:sz w:val="32"/>
          <w:szCs w:val="32"/>
        </w:rPr>
      </w:pPr>
      <w:r>
        <w:rPr>
          <w:rFonts w:ascii="仿宋_GB2312" w:eastAsia="仿宋_GB2312"/>
          <w:bCs/>
          <w:sz w:val="32"/>
          <w:szCs w:val="32"/>
        </w:rPr>
        <w:t>7</w:t>
      </w:r>
      <w:r>
        <w:rPr>
          <w:rFonts w:hint="eastAsia" w:ascii="仿宋_GB2312" w:eastAsia="仿宋_GB2312"/>
          <w:bCs/>
          <w:sz w:val="32"/>
          <w:szCs w:val="32"/>
        </w:rPr>
        <w:t xml:space="preserve"> 卫生间…………………………………………………1</w:t>
      </w:r>
      <w:r>
        <w:rPr>
          <w:rFonts w:ascii="仿宋_GB2312" w:eastAsia="仿宋_GB2312"/>
          <w:bCs/>
          <w:sz w:val="32"/>
          <w:szCs w:val="32"/>
        </w:rPr>
        <w:t>6</w:t>
      </w:r>
    </w:p>
    <w:p>
      <w:pPr>
        <w:spacing w:before="156" w:line="15" w:lineRule="auto"/>
        <w:ind w:left="0"/>
        <w:jc w:val="left"/>
        <w:rPr>
          <w:rFonts w:ascii="仿宋_GB2312" w:eastAsia="仿宋_GB2312"/>
          <w:bCs/>
          <w:sz w:val="32"/>
          <w:szCs w:val="32"/>
        </w:rPr>
      </w:pPr>
      <w:r>
        <w:rPr>
          <w:rFonts w:ascii="仿宋_GB2312" w:eastAsia="仿宋_GB2312"/>
          <w:bCs/>
          <w:sz w:val="32"/>
          <w:szCs w:val="32"/>
        </w:rPr>
        <w:t>8</w:t>
      </w:r>
      <w:r>
        <w:rPr>
          <w:rFonts w:hint="eastAsia" w:ascii="仿宋_GB2312" w:eastAsia="仿宋_GB2312"/>
          <w:bCs/>
          <w:sz w:val="32"/>
          <w:szCs w:val="32"/>
        </w:rPr>
        <w:t xml:space="preserve"> 厨房……………………………………………………</w:t>
      </w:r>
      <w:r>
        <w:rPr>
          <w:rFonts w:ascii="仿宋_GB2312" w:eastAsia="仿宋_GB2312"/>
          <w:bCs/>
          <w:sz w:val="32"/>
          <w:szCs w:val="32"/>
        </w:rPr>
        <w:t>18</w:t>
      </w:r>
    </w:p>
    <w:p>
      <w:pPr>
        <w:spacing w:before="156" w:line="15" w:lineRule="auto"/>
        <w:ind w:left="0"/>
        <w:jc w:val="left"/>
        <w:rPr>
          <w:rFonts w:ascii="仿宋_GB2312" w:eastAsia="仿宋_GB2312"/>
          <w:bCs/>
          <w:sz w:val="32"/>
          <w:szCs w:val="32"/>
        </w:rPr>
      </w:pPr>
      <w:r>
        <w:rPr>
          <w:rFonts w:ascii="仿宋_GB2312" w:eastAsia="仿宋_GB2312"/>
          <w:bCs/>
          <w:sz w:val="32"/>
          <w:szCs w:val="32"/>
        </w:rPr>
        <w:t>9</w:t>
      </w:r>
      <w:r>
        <w:rPr>
          <w:rFonts w:hint="eastAsia" w:ascii="仿宋_GB2312" w:eastAsia="仿宋_GB2312"/>
          <w:bCs/>
          <w:sz w:val="32"/>
          <w:szCs w:val="32"/>
        </w:rPr>
        <w:t xml:space="preserve">走道…………………………………………………… </w:t>
      </w:r>
      <w:r>
        <w:rPr>
          <w:rFonts w:ascii="仿宋_GB2312" w:eastAsia="仿宋_GB2312"/>
          <w:bCs/>
          <w:sz w:val="32"/>
          <w:szCs w:val="32"/>
        </w:rPr>
        <w:t>20</w:t>
      </w:r>
    </w:p>
    <w:p>
      <w:pPr>
        <w:spacing w:before="156" w:line="15" w:lineRule="auto"/>
        <w:ind w:left="0"/>
        <w:jc w:val="left"/>
        <w:rPr>
          <w:rFonts w:ascii="仿宋_GB2312" w:eastAsia="仿宋_GB2312"/>
          <w:bCs/>
          <w:sz w:val="32"/>
          <w:szCs w:val="32"/>
        </w:rPr>
      </w:pPr>
      <w:r>
        <w:rPr>
          <w:rFonts w:hint="eastAsia" w:ascii="仿宋_GB2312" w:eastAsia="仿宋_GB2312"/>
          <w:bCs/>
          <w:sz w:val="32"/>
          <w:szCs w:val="32"/>
        </w:rPr>
        <w:t>1</w:t>
      </w:r>
      <w:r>
        <w:rPr>
          <w:rFonts w:ascii="仿宋_GB2312" w:eastAsia="仿宋_GB2312"/>
          <w:bCs/>
          <w:sz w:val="32"/>
          <w:szCs w:val="32"/>
        </w:rPr>
        <w:t>0</w:t>
      </w:r>
      <w:r>
        <w:rPr>
          <w:rFonts w:hint="eastAsia" w:ascii="仿宋_GB2312" w:eastAsia="仿宋_GB2312"/>
          <w:bCs/>
          <w:sz w:val="32"/>
          <w:szCs w:val="32"/>
        </w:rPr>
        <w:t xml:space="preserve">阳台…………………………………………………  </w:t>
      </w:r>
      <w:r>
        <w:rPr>
          <w:rFonts w:ascii="仿宋_GB2312" w:eastAsia="仿宋_GB2312"/>
          <w:bCs/>
          <w:sz w:val="32"/>
          <w:szCs w:val="32"/>
        </w:rPr>
        <w:t>20</w:t>
      </w:r>
    </w:p>
    <w:p>
      <w:pPr>
        <w:spacing w:before="156" w:line="15" w:lineRule="auto"/>
        <w:ind w:left="0"/>
        <w:jc w:val="left"/>
        <w:rPr>
          <w:rFonts w:ascii="仿宋_GB2312" w:eastAsia="仿宋_GB2312"/>
          <w:bCs/>
          <w:sz w:val="32"/>
          <w:szCs w:val="32"/>
        </w:rPr>
      </w:pPr>
      <w:r>
        <w:rPr>
          <w:rFonts w:hint="eastAsia" w:ascii="仿宋_GB2312" w:eastAsia="仿宋_GB2312"/>
          <w:bCs/>
          <w:sz w:val="32"/>
          <w:szCs w:val="32"/>
        </w:rPr>
        <w:t>1</w:t>
      </w:r>
      <w:r>
        <w:rPr>
          <w:rFonts w:ascii="仿宋_GB2312" w:eastAsia="仿宋_GB2312"/>
          <w:bCs/>
          <w:sz w:val="32"/>
          <w:szCs w:val="32"/>
        </w:rPr>
        <w:t>1</w:t>
      </w:r>
      <w:r>
        <w:rPr>
          <w:rFonts w:hint="eastAsia" w:ascii="仿宋_GB2312" w:eastAsia="仿宋_GB2312"/>
          <w:bCs/>
          <w:sz w:val="32"/>
          <w:szCs w:val="32"/>
        </w:rPr>
        <w:t xml:space="preserve">附录 ………………………………………………… </w:t>
      </w:r>
      <w:r>
        <w:rPr>
          <w:rFonts w:ascii="仿宋_GB2312" w:eastAsia="仿宋_GB2312"/>
          <w:bCs/>
          <w:sz w:val="32"/>
          <w:szCs w:val="32"/>
        </w:rPr>
        <w:t>21</w:t>
      </w:r>
    </w:p>
    <w:p>
      <w:pPr>
        <w:spacing w:before="156" w:line="15" w:lineRule="auto"/>
      </w:pPr>
    </w:p>
    <w:p>
      <w:pPr>
        <w:spacing w:before="156" w:line="15" w:lineRule="auto"/>
      </w:pPr>
    </w:p>
    <w:p>
      <w:pPr>
        <w:spacing w:before="156" w:line="600" w:lineRule="exact"/>
        <w:ind w:left="0"/>
        <w:rPr>
          <w:rFonts w:ascii="仿宋_GB2312" w:eastAsia="仿宋_GB2312"/>
          <w:b/>
          <w:bCs/>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425" w:num="1"/>
          <w:docGrid w:type="lines" w:linePitch="312" w:charSpace="0"/>
        </w:sectPr>
      </w:pPr>
      <w:r>
        <w:rPr>
          <w:rFonts w:hint="eastAsia"/>
        </w:rPr>
        <w:t xml:space="preserve"> </w:t>
      </w:r>
    </w:p>
    <w:p>
      <w:pPr>
        <w:spacing w:before="156" w:line="600" w:lineRule="exact"/>
        <w:ind w:left="0"/>
        <w:jc w:val="center"/>
        <w:rPr>
          <w:rFonts w:ascii="仿宋_GB2312" w:eastAsia="仿宋_GB2312"/>
          <w:b/>
          <w:bCs/>
          <w:sz w:val="36"/>
          <w:szCs w:val="36"/>
        </w:rPr>
      </w:pPr>
      <w:r>
        <w:rPr>
          <w:rFonts w:hint="eastAsia" w:ascii="仿宋_GB2312" w:eastAsia="仿宋_GB2312"/>
          <w:b/>
          <w:bCs/>
          <w:sz w:val="36"/>
          <w:szCs w:val="36"/>
        </w:rPr>
        <w:t>1  设计说明及依据</w:t>
      </w:r>
    </w:p>
    <w:p>
      <w:pPr>
        <w:spacing w:before="156" w:line="600" w:lineRule="exact"/>
        <w:ind w:left="0"/>
        <w:rPr>
          <w:rFonts w:ascii="仿宋_GB2312" w:hAnsi="仿宋" w:eastAsia="仿宋_GB2312"/>
          <w:sz w:val="32"/>
          <w:szCs w:val="32"/>
        </w:rPr>
      </w:pPr>
      <w:r>
        <w:rPr>
          <w:rFonts w:hint="eastAsia" w:ascii="仿宋_GB2312" w:hAnsi="仿宋" w:eastAsia="仿宋_GB2312"/>
          <w:sz w:val="32"/>
          <w:szCs w:val="32"/>
        </w:rPr>
        <w:t>1.1为</w:t>
      </w:r>
      <w:r>
        <w:rPr>
          <w:rFonts w:hint="eastAsia" w:ascii="仿宋_GB2312" w:hAnsi="仿宋" w:eastAsia="仿宋_GB2312"/>
          <w:sz w:val="32"/>
          <w:szCs w:val="32"/>
          <w:lang w:eastAsia="zh-CN"/>
        </w:rPr>
        <w:t>贯彻落实</w:t>
      </w:r>
      <w:bookmarkStart w:id="0" w:name="_GoBack"/>
      <w:bookmarkEnd w:id="0"/>
      <w:r>
        <w:rPr>
          <w:rFonts w:hint="eastAsia" w:ascii="仿宋_GB2312" w:hAnsi="仿宋" w:eastAsia="仿宋_GB2312"/>
          <w:sz w:val="32"/>
          <w:szCs w:val="32"/>
        </w:rPr>
        <w:t>惠州市、大亚湾区人才安居住房的相关政策，规范我区人才安居住房室内装修，制定本标准指引。</w:t>
      </w:r>
    </w:p>
    <w:p>
      <w:pPr>
        <w:spacing w:before="156" w:line="600" w:lineRule="exact"/>
        <w:ind w:left="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2本标准指引适用于政府投资建设或企事业单位配建、筹集的人才安居住房，装修标准应结合市场情况适时调整。</w:t>
      </w:r>
    </w:p>
    <w:p>
      <w:pPr>
        <w:spacing w:before="156" w:line="600" w:lineRule="exact"/>
        <w:ind w:left="0"/>
        <w:rPr>
          <w:rFonts w:ascii="仿宋_GB2312" w:hAnsi="仿宋" w:eastAsia="仿宋_GB2312"/>
          <w:sz w:val="32"/>
          <w:szCs w:val="32"/>
        </w:rPr>
      </w:pPr>
      <w:r>
        <w:rPr>
          <w:rFonts w:hint="eastAsia" w:ascii="仿宋_GB2312" w:hAnsi="仿宋" w:eastAsia="仿宋_GB2312"/>
          <w:sz w:val="32"/>
          <w:szCs w:val="32"/>
        </w:rPr>
        <w:t>新建或配建的人才安居住房应与普通商品住房同步规划设计、同步建设、同品质、同步交付使用，交楼标准应按照不低于本标准指引装修后交付。</w:t>
      </w:r>
    </w:p>
    <w:p>
      <w:pPr>
        <w:spacing w:before="156" w:line="600" w:lineRule="exact"/>
        <w:ind w:left="0"/>
        <w:rPr>
          <w:rFonts w:ascii="仿宋_GB2312" w:hAnsi="仿宋" w:eastAsia="仿宋_GB2312"/>
          <w:sz w:val="32"/>
          <w:szCs w:val="32"/>
        </w:rPr>
      </w:pPr>
      <w:r>
        <w:rPr>
          <w:rFonts w:hint="eastAsia" w:ascii="仿宋_GB2312" w:hAnsi="仿宋" w:eastAsia="仿宋_GB2312"/>
          <w:sz w:val="32"/>
          <w:szCs w:val="32"/>
        </w:rPr>
        <w:t>本标准指引内容</w:t>
      </w:r>
      <w:r>
        <w:rPr>
          <w:rFonts w:ascii="仿宋_GB2312" w:hAnsi="仿宋" w:eastAsia="仿宋_GB2312"/>
          <w:sz w:val="32"/>
          <w:szCs w:val="32"/>
        </w:rPr>
        <w:t>与上级部门最新政策</w:t>
      </w:r>
      <w:r>
        <w:rPr>
          <w:rFonts w:hint="eastAsia" w:ascii="仿宋_GB2312" w:hAnsi="仿宋" w:eastAsia="仿宋_GB2312"/>
          <w:sz w:val="32"/>
          <w:szCs w:val="32"/>
        </w:rPr>
        <w:t>、规定的标准不一致的</w:t>
      </w:r>
      <w:r>
        <w:rPr>
          <w:rFonts w:ascii="仿宋_GB2312" w:hAnsi="仿宋" w:eastAsia="仿宋_GB2312"/>
          <w:sz w:val="32"/>
          <w:szCs w:val="32"/>
        </w:rPr>
        <w:t>，</w:t>
      </w:r>
      <w:r>
        <w:rPr>
          <w:rFonts w:hint="eastAsia" w:ascii="仿宋_GB2312" w:hAnsi="仿宋" w:eastAsia="仿宋_GB2312"/>
          <w:sz w:val="32"/>
          <w:szCs w:val="32"/>
        </w:rPr>
        <w:t>则按照</w:t>
      </w:r>
      <w:r>
        <w:rPr>
          <w:rFonts w:ascii="仿宋_GB2312" w:hAnsi="仿宋" w:eastAsia="仿宋_GB2312"/>
          <w:sz w:val="32"/>
          <w:szCs w:val="32"/>
        </w:rPr>
        <w:t>上级</w:t>
      </w:r>
      <w:r>
        <w:rPr>
          <w:rFonts w:hint="eastAsia" w:ascii="仿宋_GB2312" w:hAnsi="仿宋" w:eastAsia="仿宋_GB2312"/>
          <w:sz w:val="32"/>
          <w:szCs w:val="32"/>
        </w:rPr>
        <w:t>有</w:t>
      </w:r>
      <w:r>
        <w:rPr>
          <w:rFonts w:ascii="仿宋_GB2312" w:hAnsi="仿宋" w:eastAsia="仿宋_GB2312"/>
          <w:sz w:val="32"/>
          <w:szCs w:val="32"/>
        </w:rPr>
        <w:t>关</w:t>
      </w:r>
      <w:r>
        <w:rPr>
          <w:rFonts w:hint="eastAsia" w:ascii="仿宋_GB2312" w:hAnsi="仿宋" w:eastAsia="仿宋_GB2312"/>
          <w:sz w:val="32"/>
          <w:szCs w:val="32"/>
        </w:rPr>
        <w:t>文件</w:t>
      </w:r>
      <w:r>
        <w:rPr>
          <w:rFonts w:ascii="仿宋_GB2312" w:hAnsi="仿宋" w:eastAsia="仿宋_GB2312"/>
          <w:sz w:val="32"/>
          <w:szCs w:val="32"/>
        </w:rPr>
        <w:t>要求执行。</w:t>
      </w:r>
    </w:p>
    <w:p>
      <w:pPr>
        <w:spacing w:before="156" w:line="600" w:lineRule="exact"/>
        <w:ind w:left="0"/>
        <w:jc w:val="left"/>
        <w:rPr>
          <w:rFonts w:ascii="仿宋_GB2312" w:hAnsi="仿宋" w:eastAsia="仿宋_GB2312"/>
          <w:color w:val="000000" w:themeColor="text1"/>
          <w:sz w:val="32"/>
          <w:szCs w:val="32"/>
        </w:rPr>
      </w:pPr>
      <w:r>
        <w:rPr>
          <w:rFonts w:hint="eastAsia" w:ascii="仿宋_GB2312" w:hAnsi="仿宋" w:eastAsia="仿宋_GB2312"/>
          <w:sz w:val="32"/>
          <w:szCs w:val="32"/>
        </w:rPr>
        <w:t>1. 3为满足多样化的需求，根据我区人才安居政策规定的不同类型的人才安居住房，将装修标准分为Ⅰ类、Ⅱ类、Ⅲ</w:t>
      </w:r>
      <w:r>
        <w:rPr>
          <w:rFonts w:hint="eastAsia" w:ascii="仿宋_GB2312" w:hAnsi="仿宋" w:eastAsia="仿宋_GB2312"/>
          <w:color w:val="000000" w:themeColor="text1"/>
          <w:sz w:val="32"/>
          <w:szCs w:val="32"/>
        </w:rPr>
        <w:t>类。</w:t>
      </w:r>
    </w:p>
    <w:p>
      <w:pPr>
        <w:spacing w:before="156" w:line="600" w:lineRule="exact"/>
        <w:ind w:left="630" w:leftChars="300"/>
        <w:jc w:val="lef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1.Ⅰ类适用于人才周转性住房，单套建筑面积一般不超过6</w:t>
      </w:r>
      <w:r>
        <w:rPr>
          <w:rFonts w:ascii="仿宋_GB2312" w:hAnsi="仿宋" w:eastAsia="仿宋_GB2312"/>
          <w:color w:val="000000" w:themeColor="text1"/>
          <w:sz w:val="32"/>
          <w:szCs w:val="32"/>
        </w:rPr>
        <w:t>0</w:t>
      </w:r>
      <w:r>
        <w:rPr>
          <w:rFonts w:hint="eastAsia" w:ascii="宋体" w:hAnsi="宋体" w:cs="宋体"/>
          <w:color w:val="000000" w:themeColor="text1"/>
          <w:sz w:val="32"/>
          <w:szCs w:val="32"/>
        </w:rPr>
        <w:t>㎡</w:t>
      </w:r>
      <w:r>
        <w:rPr>
          <w:rFonts w:hint="eastAsia" w:ascii="仿宋_GB2312" w:hAnsi="仿宋" w:eastAsia="仿宋_GB2312"/>
          <w:color w:val="000000" w:themeColor="text1"/>
          <w:sz w:val="32"/>
          <w:szCs w:val="32"/>
        </w:rPr>
        <w:t>；</w:t>
      </w:r>
    </w:p>
    <w:p>
      <w:pPr>
        <w:spacing w:before="156" w:line="600" w:lineRule="exact"/>
        <w:ind w:left="630" w:leftChars="300"/>
        <w:jc w:val="lef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2.Ⅱ类适用于高层次人才公寓，单套建筑面积一般不少于</w:t>
      </w:r>
      <w:r>
        <w:rPr>
          <w:rFonts w:ascii="仿宋_GB2312" w:hAnsi="仿宋" w:eastAsia="仿宋_GB2312"/>
          <w:color w:val="000000" w:themeColor="text1"/>
          <w:sz w:val="32"/>
          <w:szCs w:val="32"/>
        </w:rPr>
        <w:t>80</w:t>
      </w:r>
      <w:r>
        <w:rPr>
          <w:rFonts w:hint="eastAsia" w:ascii="宋体" w:hAnsi="宋体" w:cs="宋体"/>
          <w:color w:val="000000" w:themeColor="text1"/>
          <w:sz w:val="32"/>
          <w:szCs w:val="32"/>
        </w:rPr>
        <w:t>㎡</w:t>
      </w:r>
      <w:r>
        <w:rPr>
          <w:rFonts w:hint="eastAsia" w:ascii="仿宋_GB2312" w:hAnsi="仿宋" w:eastAsia="仿宋_GB2312"/>
          <w:color w:val="000000" w:themeColor="text1"/>
          <w:sz w:val="32"/>
          <w:szCs w:val="32"/>
        </w:rPr>
        <w:t>；杰出人才公寓，单套建筑面积一般不少于</w:t>
      </w:r>
      <w:r>
        <w:rPr>
          <w:rFonts w:ascii="仿宋_GB2312" w:hAnsi="仿宋" w:eastAsia="仿宋_GB2312"/>
          <w:color w:val="000000" w:themeColor="text1"/>
          <w:sz w:val="32"/>
          <w:szCs w:val="32"/>
        </w:rPr>
        <w:t>100</w:t>
      </w:r>
      <w:r>
        <w:rPr>
          <w:rFonts w:hint="eastAsia" w:ascii="宋体" w:hAnsi="宋体" w:cs="宋体"/>
          <w:color w:val="000000" w:themeColor="text1"/>
          <w:sz w:val="32"/>
          <w:szCs w:val="32"/>
        </w:rPr>
        <w:t>㎡</w:t>
      </w:r>
      <w:r>
        <w:rPr>
          <w:rFonts w:hint="eastAsia" w:ascii="仿宋_GB2312" w:hAnsi="仿宋" w:eastAsia="仿宋_GB2312"/>
          <w:color w:val="000000" w:themeColor="text1"/>
          <w:sz w:val="32"/>
          <w:szCs w:val="32"/>
        </w:rPr>
        <w:t>；</w:t>
      </w:r>
    </w:p>
    <w:p>
      <w:pPr>
        <w:spacing w:before="156" w:line="600" w:lineRule="exact"/>
        <w:ind w:left="630" w:leftChars="300"/>
        <w:jc w:val="lef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3.Ⅲ类适用于顶尖人才别墅，单套建筑面积一般不少于2</w:t>
      </w:r>
      <w:r>
        <w:rPr>
          <w:rFonts w:ascii="仿宋_GB2312" w:hAnsi="仿宋" w:eastAsia="仿宋_GB2312"/>
          <w:color w:val="000000" w:themeColor="text1"/>
          <w:sz w:val="32"/>
          <w:szCs w:val="32"/>
        </w:rPr>
        <w:t>00</w:t>
      </w:r>
      <w:r>
        <w:rPr>
          <w:rFonts w:hint="eastAsia" w:ascii="宋体" w:hAnsi="宋体" w:cs="宋体"/>
          <w:color w:val="000000" w:themeColor="text1"/>
          <w:sz w:val="32"/>
          <w:szCs w:val="32"/>
        </w:rPr>
        <w:t>㎡</w:t>
      </w:r>
      <w:r>
        <w:rPr>
          <w:rFonts w:hint="eastAsia" w:ascii="仿宋_GB2312" w:hAnsi="仿宋" w:eastAsia="仿宋_GB2312"/>
          <w:color w:val="000000" w:themeColor="text1"/>
          <w:sz w:val="32"/>
          <w:szCs w:val="32"/>
        </w:rPr>
        <w:t>。</w:t>
      </w:r>
    </w:p>
    <w:p>
      <w:pPr>
        <w:spacing w:before="156" w:line="600" w:lineRule="exact"/>
        <w:ind w:left="0"/>
        <w:jc w:val="left"/>
        <w:rPr>
          <w:rFonts w:ascii="仿宋_GB2312" w:hAnsi="仿宋" w:eastAsia="仿宋_GB2312"/>
          <w:sz w:val="32"/>
          <w:szCs w:val="32"/>
        </w:rPr>
      </w:pPr>
      <w:r>
        <w:rPr>
          <w:rFonts w:hint="eastAsia" w:ascii="仿宋_GB2312" w:hAnsi="仿宋" w:eastAsia="仿宋_GB2312"/>
          <w:sz w:val="32"/>
          <w:szCs w:val="32"/>
        </w:rPr>
        <w:t>1.4室内装修设计包含以下基本内容：</w:t>
      </w:r>
    </w:p>
    <w:p>
      <w:pPr>
        <w:numPr>
          <w:ilvl w:val="0"/>
          <w:numId w:val="1"/>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室内所有功能空间的顶面、地面、墙面、内门（不含入户门）、门套、窗台的设计。</w:t>
      </w:r>
    </w:p>
    <w:p>
      <w:pPr>
        <w:numPr>
          <w:ilvl w:val="0"/>
          <w:numId w:val="1"/>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厨房、卫生间及其他功能空间需装修完成的设备和设施设计。</w:t>
      </w:r>
    </w:p>
    <w:p>
      <w:pPr>
        <w:spacing w:before="156" w:line="600" w:lineRule="exact"/>
        <w:ind w:left="0"/>
        <w:rPr>
          <w:rFonts w:ascii="仿宋_GB2312" w:hAnsi="仿宋" w:eastAsia="仿宋_GB2312"/>
          <w:sz w:val="32"/>
          <w:szCs w:val="32"/>
        </w:rPr>
      </w:pPr>
      <w:r>
        <w:rPr>
          <w:rFonts w:hint="eastAsia" w:ascii="仿宋_GB2312" w:hAnsi="仿宋" w:eastAsia="仿宋_GB2312"/>
          <w:sz w:val="32"/>
          <w:szCs w:val="32"/>
        </w:rPr>
        <w:t>1.5室内装饰装修的材料选择应兼顾耐久性、安全性、维护成本低的原则，并符合下列要求：</w:t>
      </w:r>
    </w:p>
    <w:p>
      <w:pPr>
        <w:numPr>
          <w:ilvl w:val="0"/>
          <w:numId w:val="2"/>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室内装修材料应采用符合国家资源节约、环保等要求的建筑材料及住宅产品，优先采用通过ISO9001质量认证、ISO14001环境认证的产品，不得采用高消耗及污染超标的材料；</w:t>
      </w:r>
    </w:p>
    <w:p>
      <w:pPr>
        <w:numPr>
          <w:ilvl w:val="0"/>
          <w:numId w:val="2"/>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室内装修材料应采用耐久性强、耐清洗、维护替换方便的建筑材料；</w:t>
      </w:r>
    </w:p>
    <w:p>
      <w:pPr>
        <w:numPr>
          <w:ilvl w:val="0"/>
          <w:numId w:val="2"/>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厨房、卫生间内台面、柜子、五金件等应采用耐久性强的材料；</w:t>
      </w:r>
    </w:p>
    <w:p>
      <w:pPr>
        <w:spacing w:before="156" w:line="600" w:lineRule="exact"/>
        <w:ind w:left="0"/>
        <w:rPr>
          <w:rFonts w:ascii="仿宋_GB2312" w:hAnsi="仿宋" w:eastAsia="仿宋_GB2312"/>
          <w:sz w:val="32"/>
          <w:szCs w:val="32"/>
        </w:rPr>
      </w:pPr>
      <w:r>
        <w:rPr>
          <w:rFonts w:hint="eastAsia" w:ascii="仿宋_GB2312" w:hAnsi="仿宋" w:eastAsia="仿宋_GB2312"/>
          <w:sz w:val="32"/>
          <w:szCs w:val="32"/>
        </w:rPr>
        <w:t>1.6 室内装饰装修工程应在建筑主体工程隐蔽验收合格后进行施工。装修施工应符合下列要求：</w:t>
      </w:r>
    </w:p>
    <w:p>
      <w:pPr>
        <w:numPr>
          <w:ilvl w:val="0"/>
          <w:numId w:val="3"/>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室内装饰装修工程施工中，严禁改动或损伤建筑主体、承重结构或主要使用功能，严禁未经相关设计单位和有关部门批准擅自拆改水、电、燃气、通讯等配套设施的施工活动；</w:t>
      </w:r>
    </w:p>
    <w:p>
      <w:pPr>
        <w:numPr>
          <w:ilvl w:val="0"/>
          <w:numId w:val="3"/>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室内装饰装修工程施工前应有主要材料的样板，并应经建设单位、设计单位、监理单位、施工单位等四方确认；</w:t>
      </w:r>
    </w:p>
    <w:p>
      <w:pPr>
        <w:numPr>
          <w:ilvl w:val="0"/>
          <w:numId w:val="3"/>
        </w:numPr>
        <w:spacing w:before="156" w:line="240" w:lineRule="auto"/>
        <w:ind w:left="1265"/>
        <w:rPr>
          <w:rFonts w:ascii="仿宋_GB2312" w:hAnsi="仿宋" w:eastAsia="仿宋_GB2312"/>
          <w:sz w:val="32"/>
          <w:szCs w:val="32"/>
        </w:rPr>
      </w:pPr>
      <w:r>
        <w:rPr>
          <w:rFonts w:hint="eastAsia" w:ascii="仿宋_GB2312" w:hAnsi="仿宋" w:eastAsia="仿宋_GB2312"/>
          <w:sz w:val="32"/>
          <w:szCs w:val="32"/>
        </w:rPr>
        <w:t>装修材料进场时应对品种、规格、外观和尺寸进行验收。材料包装应完好，应有产品合格证书、中文说明书及相关性能的检验报告，进口产品应按规定提供商检报告；</w:t>
      </w:r>
    </w:p>
    <w:p>
      <w:pPr>
        <w:numPr>
          <w:ilvl w:val="0"/>
          <w:numId w:val="3"/>
        </w:numPr>
        <w:spacing w:before="156" w:line="240" w:lineRule="auto"/>
        <w:ind w:left="1265"/>
        <w:rPr>
          <w:rFonts w:ascii="仿宋_GB2312" w:hAnsi="仿宋" w:eastAsia="仿宋_GB2312"/>
          <w:sz w:val="32"/>
          <w:szCs w:val="32"/>
        </w:rPr>
      </w:pPr>
      <w:r>
        <w:rPr>
          <w:rFonts w:hint="eastAsia" w:ascii="仿宋_GB2312" w:hAnsi="仿宋" w:eastAsia="仿宋_GB2312"/>
          <w:sz w:val="32"/>
          <w:szCs w:val="32"/>
        </w:rPr>
        <w:t>进入现场的建筑材料需要按相关规定进行见证抽样复检，复检合格后方可用于现场。</w:t>
      </w:r>
    </w:p>
    <w:p>
      <w:pPr>
        <w:spacing w:before="156" w:line="240" w:lineRule="auto"/>
        <w:ind w:left="0"/>
        <w:rPr>
          <w:rFonts w:ascii="仿宋_GB2312" w:hAnsi="仿宋" w:eastAsia="仿宋_GB2312"/>
          <w:sz w:val="32"/>
          <w:szCs w:val="32"/>
        </w:rPr>
      </w:pPr>
      <w:r>
        <w:rPr>
          <w:rFonts w:hint="eastAsia" w:ascii="仿宋_GB2312" w:hAnsi="仿宋" w:eastAsia="仿宋_GB2312"/>
          <w:sz w:val="32"/>
          <w:szCs w:val="32"/>
        </w:rPr>
        <w:t>1.7 室内装饰装修工程设计及施工须依据下列规范要求：</w:t>
      </w:r>
    </w:p>
    <w:p>
      <w:pPr>
        <w:spacing w:before="156" w:line="240" w:lineRule="auto"/>
        <w:ind w:left="0" w:firstLine="640" w:firstLineChars="200"/>
        <w:rPr>
          <w:rFonts w:ascii="仿宋_GB2312" w:hAnsi="仿宋" w:eastAsia="仿宋_GB2312"/>
          <w:sz w:val="32"/>
          <w:szCs w:val="32"/>
          <w:lang w:val="zh-CN"/>
        </w:rPr>
      </w:pPr>
      <w:r>
        <w:rPr>
          <w:rFonts w:hint="eastAsia" w:ascii="仿宋_GB2312" w:hAnsi="仿宋" w:eastAsia="仿宋_GB2312"/>
          <w:sz w:val="32"/>
          <w:szCs w:val="32"/>
          <w:lang w:val="zh-CN"/>
        </w:rPr>
        <w:t>《建筑装饰装修工程质量验收规范》  (GB50210-20</w:t>
      </w:r>
      <w:r>
        <w:rPr>
          <w:rFonts w:hint="eastAsia" w:ascii="仿宋_GB2312" w:hAnsi="仿宋" w:eastAsia="仿宋_GB2312"/>
          <w:sz w:val="32"/>
          <w:szCs w:val="32"/>
        </w:rPr>
        <w:t>18</w:t>
      </w:r>
      <w:r>
        <w:rPr>
          <w:rFonts w:hint="eastAsia" w:ascii="仿宋_GB2312" w:hAnsi="仿宋" w:eastAsia="仿宋_GB2312"/>
          <w:sz w:val="32"/>
          <w:szCs w:val="32"/>
          <w:lang w:val="zh-CN"/>
        </w:rPr>
        <w:t>)</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 xml:space="preserve">《建筑设计防火规范》  （GB 50016-2014）  </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《建筑内部装修设计防火规范》  (GB50222-</w:t>
      </w:r>
      <w:r>
        <w:rPr>
          <w:rFonts w:hint="eastAsia" w:ascii="仿宋_GB2312" w:hAnsi="仿宋" w:eastAsia="仿宋_GB2312"/>
          <w:sz w:val="32"/>
          <w:szCs w:val="32"/>
        </w:rPr>
        <w:t>2017</w:t>
      </w:r>
      <w:r>
        <w:rPr>
          <w:rFonts w:hint="eastAsia" w:ascii="仿宋_GB2312" w:hAnsi="仿宋" w:eastAsia="仿宋_GB2312"/>
          <w:sz w:val="32"/>
          <w:szCs w:val="32"/>
          <w:lang w:val="zh-CN"/>
        </w:rPr>
        <w:t>)</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 xml:space="preserve">《室内装饰装修材料规范》  </w:t>
      </w:r>
      <w:r>
        <w:rPr>
          <w:rFonts w:hint="eastAsia" w:ascii="仿宋_GB2312" w:hAnsi="仿宋" w:eastAsia="仿宋_GB2312"/>
          <w:sz w:val="32"/>
          <w:szCs w:val="32"/>
        </w:rPr>
        <w:t>(</w:t>
      </w:r>
      <w:r>
        <w:rPr>
          <w:rFonts w:ascii="仿宋_GB2312" w:hAnsi="仿宋" w:eastAsia="仿宋_GB2312"/>
          <w:sz w:val="32"/>
          <w:szCs w:val="32"/>
        </w:rPr>
        <w:t>GB 18580</w:t>
      </w:r>
      <w:r>
        <w:rPr>
          <w:rFonts w:hint="eastAsia" w:ascii="仿宋_GB2312" w:hAnsi="仿宋" w:eastAsia="仿宋_GB2312"/>
          <w:sz w:val="32"/>
          <w:szCs w:val="32"/>
        </w:rPr>
        <w:t>)-2008</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 xml:space="preserve">《建筑地面设计规范》（GB50037-2013） </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《民用建筑工程室内环境污染控制规范》（GB 50325-20</w:t>
      </w:r>
      <w:r>
        <w:rPr>
          <w:rFonts w:hint="eastAsia" w:ascii="仿宋_GB2312" w:hAnsi="仿宋" w:eastAsia="仿宋_GB2312"/>
          <w:sz w:val="32"/>
          <w:szCs w:val="32"/>
        </w:rPr>
        <w:t>20</w:t>
      </w:r>
      <w:r>
        <w:rPr>
          <w:rFonts w:hint="eastAsia" w:ascii="仿宋_GB2312" w:hAnsi="仿宋" w:eastAsia="仿宋_GB2312"/>
          <w:sz w:val="32"/>
          <w:szCs w:val="32"/>
          <w:lang w:val="zh-CN"/>
        </w:rPr>
        <w:t xml:space="preserve">） </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《民用建筑隔声设计规范》（GB 50118-2010）</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《建筑室内吊顶工程技术规程》（CECS 255：2009）</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《建筑工程饰面砖粘结强度检验标准》（JGJ 110-20</w:t>
      </w:r>
      <w:r>
        <w:rPr>
          <w:rFonts w:hint="eastAsia" w:ascii="仿宋_GB2312" w:hAnsi="仿宋" w:eastAsia="仿宋_GB2312"/>
          <w:sz w:val="32"/>
          <w:szCs w:val="32"/>
        </w:rPr>
        <w:t>17</w:t>
      </w:r>
      <w:r>
        <w:rPr>
          <w:rFonts w:hint="eastAsia" w:ascii="仿宋_GB2312" w:hAnsi="仿宋" w:eastAsia="仿宋_GB2312"/>
          <w:sz w:val="32"/>
          <w:szCs w:val="32"/>
          <w:lang w:val="zh-CN"/>
        </w:rPr>
        <w:t>）</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lang w:val="zh-CN"/>
        </w:rPr>
        <w:t>《建筑用轻钢龙骨》（GB/T 11981-2008）</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rPr>
        <w:t>《建筑照明设计标准》（GB 50034-2013）</w:t>
      </w:r>
    </w:p>
    <w:p>
      <w:pPr>
        <w:spacing w:before="156" w:line="240" w:lineRule="auto"/>
        <w:ind w:left="0" w:firstLine="640" w:firstLineChars="200"/>
        <w:rPr>
          <w:rFonts w:ascii="仿宋_GB2312" w:hAnsi="仿宋" w:eastAsia="仿宋_GB2312"/>
          <w:sz w:val="32"/>
          <w:szCs w:val="32"/>
        </w:rPr>
      </w:pPr>
      <w:r>
        <w:rPr>
          <w:rFonts w:hint="eastAsia" w:ascii="仿宋_GB2312" w:hAnsi="仿宋" w:eastAsia="仿宋_GB2312"/>
          <w:sz w:val="32"/>
          <w:szCs w:val="32"/>
        </w:rPr>
        <w:t>《住宅装饰装饰工程施工规范》（GB50327-2001）</w:t>
      </w:r>
    </w:p>
    <w:p>
      <w:pPr>
        <w:spacing w:before="156"/>
        <w:ind w:left="0"/>
        <w:rPr>
          <w:rFonts w:ascii="仿宋_GB2312" w:hAnsi="仿宋" w:eastAsia="仿宋_GB2312"/>
          <w:sz w:val="32"/>
          <w:szCs w:val="32"/>
          <w:lang w:val="zh-CN"/>
        </w:rPr>
      </w:pPr>
      <w:r>
        <w:rPr>
          <w:rFonts w:hint="eastAsia" w:ascii="仿宋_GB2312" w:hAnsi="仿宋" w:eastAsia="仿宋_GB2312"/>
          <w:sz w:val="32"/>
          <w:szCs w:val="32"/>
        </w:rPr>
        <w:t>1.8各类装修标准造价费用按户型实际面积及设计内容计算。</w:t>
      </w:r>
    </w:p>
    <w:p>
      <w:pPr>
        <w:spacing w:before="156" w:line="600" w:lineRule="exact"/>
        <w:ind w:left="0"/>
        <w:jc w:val="left"/>
        <w:rPr>
          <w:rFonts w:ascii="仿宋_GB2312" w:hAnsi="仿宋" w:eastAsia="仿宋_GB2312"/>
          <w:sz w:val="32"/>
          <w:szCs w:val="32"/>
        </w:rPr>
      </w:pPr>
      <w:r>
        <w:rPr>
          <w:rFonts w:hint="eastAsia" w:ascii="仿宋_GB2312" w:hAnsi="仿宋" w:eastAsia="仿宋_GB2312"/>
          <w:sz w:val="32"/>
          <w:szCs w:val="32"/>
        </w:rPr>
        <w:t>1.9 装修设计方案和材料表由业主单位确认，按照设计图集进行施工。</w:t>
      </w:r>
    </w:p>
    <w:p>
      <w:pPr>
        <w:spacing w:before="156" w:line="360" w:lineRule="auto"/>
        <w:rPr>
          <w:rFonts w:ascii="仿宋_GB2312" w:eastAsia="仿宋_GB2312"/>
          <w:b/>
          <w:bCs/>
          <w:color w:val="FF0000"/>
          <w:sz w:val="36"/>
          <w:szCs w:val="36"/>
        </w:rPr>
      </w:pPr>
    </w:p>
    <w:p>
      <w:pPr>
        <w:spacing w:before="156" w:line="360" w:lineRule="auto"/>
        <w:jc w:val="center"/>
        <w:rPr>
          <w:rFonts w:ascii="仿宋_GB2312" w:eastAsia="仿宋_GB2312"/>
          <w:b/>
          <w:bCs/>
          <w:sz w:val="36"/>
          <w:szCs w:val="36"/>
        </w:rPr>
      </w:pPr>
      <w:r>
        <w:rPr>
          <w:rFonts w:ascii="仿宋_GB2312" w:eastAsia="仿宋_GB2312"/>
          <w:b/>
          <w:bCs/>
          <w:sz w:val="36"/>
          <w:szCs w:val="36"/>
        </w:rPr>
        <w:t xml:space="preserve">2  </w:t>
      </w:r>
      <w:r>
        <w:rPr>
          <w:rFonts w:hint="eastAsia" w:ascii="仿宋_GB2312" w:eastAsia="仿宋_GB2312"/>
          <w:b/>
          <w:bCs/>
          <w:sz w:val="36"/>
          <w:szCs w:val="36"/>
        </w:rPr>
        <w:t>设计要点及基本施工要求</w:t>
      </w:r>
    </w:p>
    <w:p>
      <w:pPr>
        <w:spacing w:before="156" w:line="360" w:lineRule="auto"/>
        <w:ind w:left="0"/>
        <w:jc w:val="left"/>
        <w:rPr>
          <w:rFonts w:ascii="仿宋_GB2312" w:hAnsi="仿宋" w:eastAsia="仿宋_GB2312"/>
          <w:sz w:val="32"/>
          <w:szCs w:val="32"/>
        </w:rPr>
      </w:pPr>
      <w:r>
        <w:rPr>
          <w:rFonts w:hint="eastAsia" w:ascii="仿宋_GB2312" w:hAnsi="仿宋" w:eastAsia="仿宋_GB2312"/>
          <w:sz w:val="32"/>
          <w:szCs w:val="32"/>
        </w:rPr>
        <w:t>2.1室内环境污染控制</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对室内环境污染控制按有关规定对全部内容进行检测，其污染物浓度限值应符合相关法律法规的要求。住宅装饰装修室内环境污染物单位浓度限值：</w:t>
      </w:r>
    </w:p>
    <w:p>
      <w:pPr>
        <w:pStyle w:val="8"/>
        <w:spacing w:before="156" w:line="360" w:lineRule="auto"/>
        <w:ind w:left="738" w:firstLine="0" w:firstLineChars="0"/>
        <w:jc w:val="left"/>
        <w:rPr>
          <w:rFonts w:ascii="仿宋_GB2312" w:hAnsi="仿宋" w:eastAsia="仿宋_GB2312"/>
          <w:sz w:val="32"/>
          <w:szCs w:val="32"/>
        </w:rPr>
      </w:pPr>
      <w:r>
        <w:rPr>
          <w:rFonts w:hint="eastAsia" w:ascii="仿宋_GB2312" w:hAnsi="仿宋" w:eastAsia="仿宋_GB2312"/>
          <w:sz w:val="32"/>
          <w:szCs w:val="32"/>
        </w:rPr>
        <w:t>氡（Bq/m3）≤150</w:t>
      </w:r>
      <w:r>
        <w:rPr>
          <w:rFonts w:hint="eastAsia" w:ascii="仿宋_GB2312" w:hAnsi="仿宋" w:eastAsia="仿宋_GB2312"/>
          <w:sz w:val="32"/>
          <w:szCs w:val="32"/>
        </w:rPr>
        <w:br w:type="textWrapping"/>
      </w:r>
      <w:r>
        <w:rPr>
          <w:rFonts w:hint="eastAsia" w:ascii="仿宋_GB2312" w:hAnsi="仿宋" w:eastAsia="仿宋_GB2312"/>
          <w:sz w:val="32"/>
          <w:szCs w:val="32"/>
        </w:rPr>
        <w:t>甲醛（mg/m3）≤0.08</w:t>
      </w:r>
      <w:r>
        <w:rPr>
          <w:rFonts w:hint="eastAsia" w:ascii="仿宋_GB2312" w:hAnsi="仿宋" w:eastAsia="仿宋_GB2312"/>
          <w:sz w:val="32"/>
          <w:szCs w:val="32"/>
        </w:rPr>
        <w:br w:type="textWrapping"/>
      </w:r>
      <w:r>
        <w:rPr>
          <w:rFonts w:hint="eastAsia" w:ascii="仿宋_GB2312" w:hAnsi="仿宋" w:eastAsia="仿宋_GB2312"/>
          <w:sz w:val="32"/>
          <w:szCs w:val="32"/>
        </w:rPr>
        <w:t>苯（mg/m3）≤0.09</w:t>
      </w:r>
      <w:r>
        <w:rPr>
          <w:rFonts w:hint="eastAsia" w:ascii="仿宋_GB2312" w:hAnsi="仿宋" w:eastAsia="仿宋_GB2312"/>
          <w:sz w:val="32"/>
          <w:szCs w:val="32"/>
        </w:rPr>
        <w:br w:type="textWrapping"/>
      </w:r>
      <w:r>
        <w:rPr>
          <w:rFonts w:hint="eastAsia" w:ascii="仿宋_GB2312" w:hAnsi="仿宋" w:eastAsia="仿宋_GB2312"/>
          <w:sz w:val="32"/>
          <w:szCs w:val="32"/>
        </w:rPr>
        <w:t>氨（mg/m3）≤0.20</w:t>
      </w:r>
    </w:p>
    <w:p>
      <w:pPr>
        <w:pStyle w:val="8"/>
        <w:spacing w:before="156" w:line="360" w:lineRule="auto"/>
        <w:ind w:left="738" w:firstLine="0" w:firstLineChars="0"/>
        <w:jc w:val="left"/>
        <w:rPr>
          <w:rFonts w:ascii="仿宋_GB2312" w:hAnsi="仿宋" w:eastAsia="仿宋_GB2312"/>
          <w:sz w:val="32"/>
          <w:szCs w:val="32"/>
        </w:rPr>
      </w:pPr>
      <w:r>
        <w:rPr>
          <w:rFonts w:hint="eastAsia" w:ascii="仿宋_GB2312" w:hAnsi="仿宋" w:eastAsia="仿宋_GB2312"/>
          <w:sz w:val="32"/>
          <w:szCs w:val="32"/>
        </w:rPr>
        <w:t>甲苯（mg/m3）≤0.20</w:t>
      </w:r>
    </w:p>
    <w:p>
      <w:pPr>
        <w:pStyle w:val="8"/>
        <w:spacing w:before="156" w:line="360" w:lineRule="auto"/>
        <w:ind w:left="738" w:firstLine="0" w:firstLineChars="0"/>
        <w:jc w:val="left"/>
        <w:rPr>
          <w:rFonts w:ascii="仿宋_GB2312" w:hAnsi="仿宋" w:eastAsia="仿宋_GB2312"/>
          <w:sz w:val="32"/>
          <w:szCs w:val="32"/>
        </w:rPr>
      </w:pPr>
      <w:r>
        <w:rPr>
          <w:rFonts w:hint="eastAsia" w:ascii="仿宋_GB2312" w:hAnsi="仿宋" w:eastAsia="仿宋_GB2312"/>
          <w:sz w:val="32"/>
          <w:szCs w:val="32"/>
        </w:rPr>
        <w:t>二甲苯（mg/m3）≤0.20</w:t>
      </w:r>
      <w:r>
        <w:rPr>
          <w:rFonts w:hint="eastAsia" w:ascii="仿宋_GB2312" w:hAnsi="仿宋" w:eastAsia="仿宋_GB2312"/>
          <w:sz w:val="32"/>
          <w:szCs w:val="32"/>
        </w:rPr>
        <w:br w:type="textWrapping"/>
      </w:r>
      <w:r>
        <w:rPr>
          <w:rFonts w:hint="eastAsia" w:ascii="仿宋_GB2312" w:hAnsi="仿宋" w:eastAsia="仿宋_GB2312"/>
          <w:sz w:val="32"/>
          <w:szCs w:val="32"/>
        </w:rPr>
        <w:t>总挥发性有机物TVOC（mg/m3）≤0.50</w:t>
      </w:r>
    </w:p>
    <w:p>
      <w:pPr>
        <w:spacing w:before="156" w:line="360" w:lineRule="auto"/>
        <w:ind w:left="0"/>
        <w:jc w:val="left"/>
        <w:rPr>
          <w:rFonts w:ascii="仿宋_GB2312" w:hAnsi="仿宋" w:eastAsia="仿宋_GB2312"/>
          <w:sz w:val="32"/>
          <w:szCs w:val="32"/>
        </w:rPr>
      </w:pPr>
      <w:r>
        <w:rPr>
          <w:rFonts w:hint="eastAsia" w:ascii="仿宋_GB2312" w:hAnsi="仿宋" w:eastAsia="仿宋_GB2312"/>
          <w:sz w:val="32"/>
          <w:szCs w:val="32"/>
        </w:rPr>
        <w:t>2.</w:t>
      </w:r>
      <w:r>
        <w:rPr>
          <w:rFonts w:ascii="仿宋_GB2312" w:hAnsi="仿宋" w:eastAsia="仿宋_GB2312"/>
          <w:sz w:val="32"/>
          <w:szCs w:val="32"/>
        </w:rPr>
        <w:t>2</w:t>
      </w:r>
      <w:r>
        <w:rPr>
          <w:rFonts w:hint="eastAsia" w:ascii="仿宋_GB2312" w:hAnsi="仿宋" w:eastAsia="仿宋_GB2312"/>
          <w:sz w:val="32"/>
          <w:szCs w:val="32"/>
        </w:rPr>
        <w:t>防水工程</w:t>
      </w:r>
    </w:p>
    <w:p>
      <w:pPr>
        <w:spacing w:before="156" w:line="360" w:lineRule="auto"/>
        <w:ind w:left="0" w:firstLine="640" w:firstLineChars="200"/>
        <w:jc w:val="left"/>
        <w:rPr>
          <w:rFonts w:ascii="仿宋_GB2312" w:hAnsi="仿宋" w:eastAsia="仿宋_GB2312"/>
          <w:b/>
          <w:sz w:val="32"/>
          <w:szCs w:val="32"/>
        </w:rPr>
      </w:pPr>
      <w:r>
        <w:rPr>
          <w:rFonts w:hint="eastAsia" w:ascii="仿宋_GB2312" w:hAnsi="仿宋" w:eastAsia="仿宋_GB2312"/>
          <w:sz w:val="32"/>
          <w:szCs w:val="32"/>
        </w:rPr>
        <w:t>防水材料采用涂膜防水。防水工程应在地面、墙面隐蔽工程完毕并经检查验收后进行。其施工方法应符合现行标准、规范的有关规定。施工环境温度应符合防水材料的技术要求，并宜在5摄氏度以上。防水工程应做两次蓄水试验。</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1</w:t>
      </w:r>
      <w:r>
        <w:rPr>
          <w:rFonts w:hint="eastAsia" w:ascii="仿宋_GB2312" w:hAnsi="仿宋" w:eastAsia="仿宋_GB2312"/>
          <w:sz w:val="32"/>
          <w:szCs w:val="32"/>
        </w:rPr>
        <w:t>.施工要点：地漏、套管、卫生洁具根部、阴阳角等部位，应先做防水附加层。防水层应从地面延伸到墙面，高出地面100mm；浴室墙面的防水层不得低于1800mm。</w:t>
      </w:r>
      <w:r>
        <w:rPr>
          <w:rFonts w:hint="eastAsia" w:ascii="仿宋_GB2312" w:hAnsi="仿宋" w:eastAsia="仿宋_GB2312"/>
          <w:sz w:val="32"/>
          <w:szCs w:val="32"/>
        </w:rPr>
        <w:br w:type="textWrapping"/>
      </w:r>
      <w:r>
        <w:rPr>
          <w:rFonts w:hint="eastAsia" w:ascii="仿宋_GB2312" w:hAnsi="仿宋" w:eastAsia="仿宋_GB2312"/>
          <w:sz w:val="32"/>
          <w:szCs w:val="32"/>
        </w:rPr>
        <w:t>防水砂浆施工应符合下列规定：</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（1）防水砂浆的配合比应符合设计和产品的要求，防水层应与基层结合牢固，阴阳角应做成圆弧形。</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（2）保护层水泥砂浆的厚度、强度应符合设计要求。</w:t>
      </w:r>
      <w:r>
        <w:rPr>
          <w:rFonts w:hint="eastAsia" w:ascii="仿宋_GB2312" w:hAnsi="仿宋" w:eastAsia="仿宋_GB2312"/>
          <w:sz w:val="32"/>
          <w:szCs w:val="32"/>
        </w:rPr>
        <w:br w:type="textWrapping"/>
      </w:r>
      <w:r>
        <w:rPr>
          <w:rFonts w:hint="eastAsia" w:ascii="仿宋_GB2312" w:hAnsi="仿宋" w:eastAsia="仿宋_GB2312"/>
          <w:bCs/>
          <w:sz w:val="32"/>
          <w:szCs w:val="32"/>
        </w:rPr>
        <w:t xml:space="preserve">    </w:t>
      </w:r>
      <w:r>
        <w:rPr>
          <w:rFonts w:ascii="仿宋_GB2312" w:hAnsi="仿宋" w:eastAsia="仿宋_GB2312"/>
          <w:bCs/>
          <w:sz w:val="32"/>
          <w:szCs w:val="32"/>
        </w:rPr>
        <w:t>2</w:t>
      </w:r>
      <w:r>
        <w:rPr>
          <w:rFonts w:hint="eastAsia" w:ascii="仿宋_GB2312" w:hAnsi="仿宋" w:eastAsia="仿宋_GB2312"/>
          <w:bCs/>
          <w:sz w:val="32"/>
          <w:szCs w:val="32"/>
        </w:rPr>
        <w:t>.涂膜防水施工应符合下列规定：</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（1）涂膜涂刷应均匀一致，不得漏刷。总厚度应符合产品技术性能要求。</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（2）玻纤布的接槎应顺流水方向搭接，搭接宽度应不小于100mm。两层以上玻纤布的防水施工，上、下搭接应错开幅宽的1/2。</w:t>
      </w:r>
      <w:r>
        <w:rPr>
          <w:rFonts w:hint="eastAsia" w:ascii="仿宋_GB2312" w:hAnsi="仿宋" w:eastAsia="仿宋_GB2312"/>
          <w:sz w:val="32"/>
          <w:szCs w:val="32"/>
        </w:rPr>
        <w:br w:type="textWrapping"/>
      </w:r>
      <w:r>
        <w:rPr>
          <w:rFonts w:hint="eastAsia" w:ascii="仿宋_GB2312" w:hAnsi="仿宋" w:eastAsia="仿宋_GB2312"/>
          <w:sz w:val="32"/>
          <w:szCs w:val="32"/>
        </w:rPr>
        <w:t>2.</w:t>
      </w:r>
      <w:r>
        <w:rPr>
          <w:rFonts w:ascii="仿宋_GB2312" w:hAnsi="仿宋" w:eastAsia="仿宋_GB2312"/>
          <w:sz w:val="32"/>
          <w:szCs w:val="32"/>
        </w:rPr>
        <w:t>3</w:t>
      </w:r>
      <w:r>
        <w:rPr>
          <w:rFonts w:hint="eastAsia" w:ascii="仿宋_GB2312" w:hAnsi="仿宋" w:eastAsia="仿宋_GB2312"/>
          <w:sz w:val="32"/>
          <w:szCs w:val="32"/>
        </w:rPr>
        <w:t>抹灰工程</w:t>
      </w:r>
    </w:p>
    <w:p>
      <w:pPr>
        <w:spacing w:before="156" w:line="360" w:lineRule="auto"/>
        <w:ind w:left="0" w:firstLine="627" w:firstLineChars="196"/>
        <w:jc w:val="left"/>
        <w:rPr>
          <w:rFonts w:ascii="仿宋_GB2312" w:hAnsi="仿宋" w:eastAsia="仿宋_GB2312"/>
          <w:sz w:val="32"/>
          <w:szCs w:val="32"/>
        </w:rPr>
      </w:pPr>
      <w:r>
        <w:rPr>
          <w:rFonts w:hint="eastAsia" w:ascii="仿宋_GB2312" w:hAnsi="仿宋" w:eastAsia="仿宋_GB2312"/>
          <w:sz w:val="32"/>
          <w:szCs w:val="32"/>
        </w:rPr>
        <w:t>室内墙面、柱面和门洞口的阳角，应采用1：2水泥砂浆做暗护角，其高度不应低于2m，每侧宽度不应小于50mm。</w:t>
      </w:r>
      <w:r>
        <w:rPr>
          <w:rFonts w:hint="eastAsia" w:ascii="仿宋_GB2312" w:hAnsi="仿宋" w:eastAsia="仿宋_GB2312"/>
          <w:sz w:val="32"/>
          <w:szCs w:val="32"/>
        </w:rPr>
        <w:br w:type="textWrapping"/>
      </w:r>
      <w:r>
        <w:rPr>
          <w:rFonts w:hint="eastAsia" w:ascii="仿宋_GB2312" w:hAnsi="仿宋" w:eastAsia="仿宋_GB2312"/>
          <w:sz w:val="32"/>
          <w:szCs w:val="32"/>
        </w:rPr>
        <w:t>水泥砂浆抹灰层应在抹灰24h后进行养护。抹灰层在凝结前，应防止快干、水冲、撞击和震动。</w:t>
      </w:r>
    </w:p>
    <w:p>
      <w:pPr>
        <w:spacing w:before="156" w:line="360" w:lineRule="auto"/>
        <w:ind w:left="0" w:firstLine="627" w:firstLineChars="196"/>
        <w:jc w:val="left"/>
        <w:rPr>
          <w:rFonts w:ascii="仿宋_GB2312" w:hAnsi="仿宋" w:eastAsia="仿宋_GB2312"/>
          <w:sz w:val="32"/>
          <w:szCs w:val="32"/>
        </w:rPr>
      </w:pPr>
      <w:r>
        <w:rPr>
          <w:rFonts w:hint="eastAsia" w:ascii="仿宋_GB2312" w:hAnsi="仿宋" w:eastAsia="仿宋_GB2312"/>
          <w:sz w:val="32"/>
          <w:szCs w:val="32"/>
        </w:rPr>
        <w:t>1.主要材料质量要求。抹灰用的水泥采用硅酸盐水泥、普通硅酸盐水泥，其强度等级不应小于32.5。抹灰用沙子选用中沙，沙子使用前应过筛，不得含有杂物。抹灰用石灰膏的熟化期不应少于15d。罩面用磨细石灰粉的熟化期不应少于3d。</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2</w:t>
      </w:r>
      <w:r>
        <w:rPr>
          <w:rFonts w:ascii="仿宋_GB2312" w:hAnsi="仿宋" w:eastAsia="仿宋_GB2312"/>
          <w:sz w:val="32"/>
          <w:szCs w:val="32"/>
        </w:rPr>
        <w:t>.</w:t>
      </w:r>
      <w:r>
        <w:rPr>
          <w:rFonts w:hint="eastAsia" w:ascii="仿宋_GB2312" w:hAnsi="仿宋" w:eastAsia="仿宋_GB2312"/>
          <w:sz w:val="32"/>
          <w:szCs w:val="32"/>
        </w:rPr>
        <w:t>施工要点。基层处理应符合下列规定：（1）砖砌体应清除表面杂物、尘土，抹灰前应洒水湿润。（2）混凝土表面应凿毛或在表面洒水润湿后涂刷1：1水泥砂浆（加适量胶黏剂）。（3）加气混凝土，应在湿润后边刷界面剂，边抹强度不大于M5的水泥混合砂浆。抹灰层的平均总厚度应符合设计要求。大面积抹灰前应设置标筋。抹灰应分层进行，每遍厚度宜为5-7mm。抹石灰砂浆和水泥混合砂浆每遍厚度宜为7-9mm，当抹灰总厚度超出35mm时，应采取加强措施。</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用水泥砂浆和水泥混合砂浆抹灰时，应待前一抹灰层凝结后方可抹后一层；用石灰砂浆抹灰时，应待前一抹灰层八成干后方可抹后一层。底层的抹灰层强度不得低于面层的抹灰层强度。水泥砂浆拌好后，应在初凝前用完，凡结硬砂浆不得继续使用。</w:t>
      </w:r>
    </w:p>
    <w:p>
      <w:pPr>
        <w:spacing w:before="156" w:line="360" w:lineRule="auto"/>
        <w:ind w:left="0"/>
        <w:jc w:val="left"/>
        <w:rPr>
          <w:rFonts w:ascii="仿宋_GB2312" w:hAnsi="仿宋" w:eastAsia="仿宋_GB2312"/>
          <w:sz w:val="32"/>
          <w:szCs w:val="32"/>
        </w:rPr>
      </w:pPr>
      <w:r>
        <w:rPr>
          <w:rFonts w:ascii="仿宋_GB2312" w:hAnsi="仿宋" w:eastAsia="仿宋_GB2312"/>
          <w:sz w:val="32"/>
          <w:szCs w:val="32"/>
        </w:rPr>
        <w:t>2.4</w:t>
      </w:r>
      <w:r>
        <w:rPr>
          <w:rFonts w:hint="eastAsia" w:ascii="仿宋_GB2312" w:hAnsi="仿宋" w:eastAsia="仿宋_GB2312"/>
          <w:sz w:val="32"/>
          <w:szCs w:val="32"/>
        </w:rPr>
        <w:t>吊顶工程</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饰面板上的灯具，烟感器、喷淋头、风口、篦子等设备的位置应合理、美观，与饰面板交接处应严密。吊顶与墙面、窗帘盒的交接应符合设计要求。</w:t>
      </w:r>
    </w:p>
    <w:p>
      <w:pPr>
        <w:spacing w:before="156" w:line="360" w:lineRule="auto"/>
        <w:ind w:left="0" w:firstLine="640" w:firstLineChars="200"/>
        <w:jc w:val="left"/>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施工要求。龙骨的安装应符合下列要求：</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1</w:t>
      </w:r>
      <w:r>
        <w:rPr>
          <w:rFonts w:hint="eastAsia" w:ascii="仿宋_GB2312" w:hAnsi="仿宋" w:eastAsia="仿宋_GB2312"/>
          <w:sz w:val="32"/>
          <w:szCs w:val="32"/>
        </w:rPr>
        <w:t>）主龙骨吊点间距应小于1.2m，应按房间短向跨度的1%-2%起拱。主龙骨安应及时校正其位置标高。</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）吊杆应通直，距主龙骨端部距离不得超过300mm。当吊杆与设备相遇时，应调整吊点构造或增设吊杆。</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）次龙骨应紧贴主龙骨安装。固定板材的次龙骨间距不得过大于600mm，在潮湿地区和场所，间距宜为300-400mm。用沉头自攻钉安装饰面板时，接缝处次龙骨宽度不得小于40mm。</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4</w:t>
      </w:r>
      <w:r>
        <w:rPr>
          <w:rFonts w:hint="eastAsia" w:ascii="仿宋_GB2312" w:hAnsi="仿宋" w:eastAsia="仿宋_GB2312"/>
          <w:sz w:val="32"/>
          <w:szCs w:val="32"/>
        </w:rPr>
        <w:t>）暗龙骨系列横撑龙骨应用连接件将其两端连接在通长次龙骨上。明龙骨系列的横撑龙骨与通长龙骨搭接处的间隙不得大于1mm。</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（5）木龙骨。吊顶内各种管线安装完毕，所有木龙骨必须使用阻燃木方。</w:t>
      </w:r>
      <w:r>
        <w:rPr>
          <w:rFonts w:ascii="仿宋_GB2312" w:hAnsi="仿宋" w:eastAsia="仿宋_GB2312"/>
          <w:sz w:val="32"/>
          <w:szCs w:val="32"/>
        </w:rPr>
        <w:t>1</w:t>
      </w:r>
      <w:r>
        <w:rPr>
          <w:rFonts w:hint="eastAsia" w:ascii="仿宋_GB2312" w:hAnsi="仿宋" w:eastAsia="仿宋_GB2312"/>
          <w:sz w:val="32"/>
          <w:szCs w:val="32"/>
        </w:rPr>
        <w:t>.安装主龙骨，每间隔1m用φ8mm以上吊杆固定，主龙骨间距不大于900mm,主龙骨末端离吊杆的距离不得超过300mm。边骨可用6mm膨胀螺丝固定,间距不得大于600mm。3.安装边龙骨，按分档线和主龙骨位置安装通长的两根边龙骨，弹线确定其符合水平标高，主龙骨和副龙骨连接使用38返50挂件固定，边龙骨和副骨连接必须使用拉铆钉固定。竖向副龙骨要逐根错开，通长边龙骨的对接接头应错开，并用连接件错位钉牢。4.安装副龙骨，按照石膏板的分块尺寸和接缝要求找平钉固定副龙骨，副龙骨间距不大于600mm，卡档副龙骨应用自攻钉固定。</w:t>
      </w:r>
    </w:p>
    <w:p>
      <w:pPr>
        <w:spacing w:before="156" w:line="360" w:lineRule="auto"/>
        <w:ind w:left="0" w:firstLine="640" w:firstLineChars="200"/>
        <w:jc w:val="left"/>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纸面石膏板和纤维水泥加压板安装应符合下列规定：</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（1）板材应在自由状态下进行安装，固定时应从板的中间向板的四周固定。</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（2）纸面石膏板螺钉与板边距离：纸包边宜为10-15mm,切割边宜为1520mm;水泥加压板螺钉与板边距离宜为8-15mm。</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（3）板周边钉距宜为150-170mm，板中钉距不得大于200mm。</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（4）安装双层石膏板时，上下层板的接缝应错开，不得在同一根龙骨上接缝。</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（5）螺钉头宜略埋入板面，并不得使纸面破损。钉眼应做防锈处理并用腻子抹平。</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（6）石膏板的接缝应按设计要求进行板缝处理。</w:t>
      </w:r>
    </w:p>
    <w:p>
      <w:pPr>
        <w:spacing w:before="156" w:line="360" w:lineRule="auto"/>
        <w:ind w:left="0"/>
        <w:jc w:val="left"/>
        <w:rPr>
          <w:rFonts w:ascii="仿宋_GB2312" w:hAnsi="仿宋" w:eastAsia="仿宋_GB2312"/>
          <w:sz w:val="32"/>
          <w:szCs w:val="32"/>
        </w:rPr>
      </w:pPr>
      <w:r>
        <w:rPr>
          <w:rFonts w:ascii="仿宋_GB2312" w:hAnsi="仿宋" w:eastAsia="仿宋_GB2312"/>
          <w:sz w:val="32"/>
          <w:szCs w:val="32"/>
        </w:rPr>
        <w:t>2.5</w:t>
      </w:r>
      <w:r>
        <w:rPr>
          <w:rFonts w:hint="eastAsia" w:ascii="仿宋_GB2312" w:hAnsi="仿宋" w:eastAsia="仿宋_GB2312"/>
          <w:sz w:val="32"/>
          <w:szCs w:val="32"/>
        </w:rPr>
        <w:t>轻质隔墙工程：</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当轻质隔墙下端用木踢脚覆盖时，饰面板应与地面留有20-30mm缝隙；</w:t>
      </w:r>
    </w:p>
    <w:p>
      <w:pPr>
        <w:spacing w:before="156" w:line="360" w:lineRule="auto"/>
        <w:ind w:left="0" w:firstLine="640" w:firstLineChars="200"/>
        <w:jc w:val="left"/>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轻钢龙骨的安装应符合下列规定：</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（1）应按弹线位置固定沿地、沿顶龙骨及边框龙骨，龙骨的边线应与弹线重合。龙骨的端部应安装牢固，龙骨与基体的固定点间距应不大于1m。</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（2）安装竖向龙骨应垂直，龙骨间距应符合设计要求。潮湿房间和钢板网抹灰墙，龙骨间距不宜大于400mm。</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（3）安装支撑龙骨时，应先将支撑卡安装在竖向龙骨的开口方向，卡距宜为400-600mm，距龙骨两端的距离宜为20-25mm。</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（4）安装贯通系列龙骨时，低于3m的隔墙安装一道，3-5m隔墙安装两道。</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（5）饰面板横向接缝处不在沿地、沿顶龙骨上时，应加横撑龙骨固定。</w:t>
      </w:r>
    </w:p>
    <w:p>
      <w:pPr>
        <w:spacing w:before="156" w:line="360" w:lineRule="auto"/>
        <w:ind w:left="0" w:firstLine="640" w:firstLineChars="200"/>
        <w:jc w:val="left"/>
        <w:rPr>
          <w:rFonts w:ascii="仿宋_GB2312" w:hAnsi="仿宋" w:eastAsia="仿宋_GB2312"/>
          <w:sz w:val="32"/>
          <w:szCs w:val="32"/>
        </w:rPr>
      </w:pPr>
      <w:r>
        <w:rPr>
          <w:rFonts w:hint="eastAsia" w:ascii="仿宋_GB2312" w:hAnsi="仿宋" w:eastAsia="仿宋_GB2312"/>
          <w:sz w:val="32"/>
          <w:szCs w:val="32"/>
        </w:rPr>
        <w:t>（6）门窗或特殊接点处安装附加龙骨应符合设计要求。</w:t>
      </w:r>
    </w:p>
    <w:p>
      <w:pPr>
        <w:spacing w:before="156" w:line="360" w:lineRule="auto"/>
        <w:jc w:val="center"/>
        <w:rPr>
          <w:rFonts w:ascii="仿宋_GB2312" w:eastAsia="仿宋_GB2312"/>
          <w:b/>
          <w:bCs/>
          <w:sz w:val="36"/>
          <w:szCs w:val="36"/>
        </w:rPr>
      </w:pPr>
    </w:p>
    <w:p>
      <w:pPr>
        <w:spacing w:before="156" w:line="360" w:lineRule="auto"/>
        <w:jc w:val="center"/>
        <w:rPr>
          <w:b/>
          <w:bCs/>
          <w:sz w:val="10"/>
          <w:szCs w:val="10"/>
        </w:rPr>
      </w:pPr>
      <w:r>
        <w:rPr>
          <w:rFonts w:ascii="仿宋_GB2312" w:eastAsia="仿宋_GB2312"/>
          <w:b/>
          <w:bCs/>
          <w:sz w:val="36"/>
          <w:szCs w:val="36"/>
        </w:rPr>
        <w:t xml:space="preserve">3 </w:t>
      </w:r>
      <w:r>
        <w:rPr>
          <w:rFonts w:hint="eastAsia" w:ascii="仿宋_GB2312" w:eastAsia="仿宋_GB2312"/>
          <w:b/>
          <w:bCs/>
          <w:sz w:val="36"/>
          <w:szCs w:val="36"/>
        </w:rPr>
        <w:t>室内装修电气要求</w:t>
      </w:r>
    </w:p>
    <w:p>
      <w:pPr>
        <w:spacing w:before="156" w:line="360" w:lineRule="auto"/>
        <w:ind w:left="0"/>
        <w:rPr>
          <w:b/>
          <w:bCs/>
          <w:sz w:val="10"/>
          <w:szCs w:val="10"/>
        </w:rPr>
      </w:pPr>
      <w:r>
        <w:rPr>
          <w:rFonts w:ascii="仿宋_GB2312" w:hAnsi="仿宋" w:eastAsia="仿宋_GB2312"/>
          <w:b/>
          <w:sz w:val="32"/>
          <w:szCs w:val="32"/>
        </w:rPr>
        <w:t>3.1</w:t>
      </w:r>
      <w:r>
        <w:rPr>
          <w:rFonts w:hint="eastAsia" w:ascii="仿宋_GB2312" w:hAnsi="仿宋" w:eastAsia="仿宋_GB2312"/>
          <w:sz w:val="32"/>
          <w:szCs w:val="32"/>
        </w:rPr>
        <w:t>厨房、卫生间距地面</w:t>
      </w:r>
      <w:r>
        <w:rPr>
          <w:rFonts w:ascii="仿宋_GB2312" w:hAnsi="仿宋" w:eastAsia="仿宋_GB2312"/>
          <w:sz w:val="32"/>
          <w:szCs w:val="32"/>
        </w:rPr>
        <w:t>H</w:t>
      </w:r>
      <w:r>
        <w:rPr>
          <w:rFonts w:hint="eastAsia" w:ascii="仿宋_GB2312" w:hAnsi="仿宋" w:eastAsia="仿宋_GB2312"/>
          <w:sz w:val="32"/>
          <w:szCs w:val="32"/>
        </w:rPr>
        <w:t>≤</w:t>
      </w:r>
      <w:r>
        <w:rPr>
          <w:rFonts w:ascii="仿宋_GB2312" w:hAnsi="仿宋" w:eastAsia="仿宋_GB2312"/>
          <w:sz w:val="32"/>
          <w:szCs w:val="32"/>
        </w:rPr>
        <w:t>1800mm</w:t>
      </w:r>
      <w:r>
        <w:rPr>
          <w:rFonts w:hint="eastAsia" w:ascii="仿宋_GB2312" w:hAnsi="仿宋" w:eastAsia="仿宋_GB2312"/>
          <w:sz w:val="32"/>
          <w:szCs w:val="32"/>
        </w:rPr>
        <w:t>应安装防溅插座。</w:t>
      </w:r>
    </w:p>
    <w:p>
      <w:pPr>
        <w:spacing w:before="156" w:line="600" w:lineRule="exact"/>
        <w:ind w:left="0"/>
        <w:rPr>
          <w:rFonts w:ascii="仿宋_GB2312" w:hAnsi="仿宋" w:eastAsia="仿宋_GB2312"/>
          <w:sz w:val="32"/>
          <w:szCs w:val="32"/>
        </w:rPr>
      </w:pPr>
      <w:r>
        <w:rPr>
          <w:rFonts w:hint="eastAsia" w:ascii="仿宋_GB2312" w:hAnsi="仿宋" w:eastAsia="仿宋_GB2312"/>
          <w:b/>
          <w:sz w:val="32"/>
          <w:szCs w:val="32"/>
        </w:rPr>
        <w:t>3.</w:t>
      </w:r>
      <w:r>
        <w:rPr>
          <w:rFonts w:ascii="仿宋_GB2312" w:hAnsi="仿宋" w:eastAsia="仿宋_GB2312"/>
          <w:b/>
          <w:sz w:val="32"/>
          <w:szCs w:val="32"/>
        </w:rPr>
        <w:t>2</w:t>
      </w:r>
      <w:r>
        <w:rPr>
          <w:rFonts w:ascii="仿宋_GB2312" w:hAnsi="仿宋" w:eastAsia="仿宋_GB2312"/>
          <w:sz w:val="32"/>
          <w:szCs w:val="32"/>
        </w:rPr>
        <w:t>住宅室内装饰电气安装工程主要是单相入户配电箱表后的室内电路布线及电气，开关，插座，灯具安装。配电箱户表后应根据室内用电设备的不同功率分别配线供电；空调，电热水器等应独立配线安装插座。</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配线时，相线与零线的颜色应不同；同一住宅相线（L）颜色应统一（红，绿，黄），零线（N）宜用蓝色，接地线（PE）必须用黄绿双色线。单管单回路，配线及回路分配需按规定执行。</w:t>
      </w:r>
    </w:p>
    <w:p>
      <w:pPr>
        <w:spacing w:before="156" w:line="600" w:lineRule="exact"/>
        <w:ind w:left="0"/>
        <w:rPr>
          <w:rFonts w:ascii="黑体" w:hAnsi="黑体" w:eastAsia="黑体"/>
          <w:color w:val="FF0000"/>
          <w:sz w:val="36"/>
          <w:szCs w:val="36"/>
        </w:rPr>
      </w:pPr>
      <w:r>
        <w:rPr>
          <w:rFonts w:hint="eastAsia" w:ascii="仿宋_GB2312" w:hAnsi="仿宋" w:eastAsia="仿宋_GB2312"/>
          <w:b/>
          <w:sz w:val="32"/>
          <w:szCs w:val="32"/>
        </w:rPr>
        <w:t>3.</w:t>
      </w:r>
      <w:r>
        <w:rPr>
          <w:rFonts w:ascii="仿宋_GB2312" w:hAnsi="仿宋" w:eastAsia="仿宋_GB2312"/>
          <w:b/>
          <w:sz w:val="32"/>
          <w:szCs w:val="32"/>
        </w:rPr>
        <w:t>3主要材料质量及规格要求</w:t>
      </w:r>
    </w:p>
    <w:p>
      <w:pPr>
        <w:spacing w:before="156" w:line="600" w:lineRule="exact"/>
        <w:ind w:left="0" w:firstLine="640" w:firstLineChars="200"/>
        <w:rPr>
          <w:rFonts w:ascii="仿宋_GB2312" w:hAnsi="仿宋" w:eastAsia="仿宋_GB2312"/>
          <w:sz w:val="32"/>
          <w:szCs w:val="32"/>
        </w:rPr>
      </w:pPr>
      <w:r>
        <w:rPr>
          <w:rFonts w:hint="eastAsia" w:ascii="仿宋_GB2312" w:hAnsi="仿宋" w:eastAsia="仿宋_GB2312"/>
          <w:sz w:val="32"/>
          <w:szCs w:val="32"/>
        </w:rPr>
        <w:t>1.</w:t>
      </w:r>
      <w:r>
        <w:rPr>
          <w:rFonts w:ascii="仿宋_GB2312" w:hAnsi="仿宋" w:eastAsia="仿宋_GB2312"/>
          <w:sz w:val="32"/>
          <w:szCs w:val="32"/>
        </w:rPr>
        <w:t>电线：</w:t>
      </w:r>
      <w:r>
        <w:rPr>
          <w:rFonts w:hint="eastAsia" w:ascii="仿宋_GB2312" w:hAnsi="仿宋" w:eastAsia="仿宋_GB2312"/>
          <w:sz w:val="32"/>
          <w:szCs w:val="32"/>
        </w:rPr>
        <w:t>国标</w:t>
      </w:r>
      <w:r>
        <w:rPr>
          <w:rFonts w:ascii="仿宋_GB2312" w:hAnsi="仿宋" w:eastAsia="仿宋_GB2312"/>
          <w:sz w:val="32"/>
          <w:szCs w:val="32"/>
        </w:rPr>
        <w:t>，客厅空调6</w:t>
      </w:r>
      <w:r>
        <w:rPr>
          <w:rFonts w:hint="eastAsia" w:ascii="仿宋_GB2312" w:hAnsi="仿宋" w:eastAsia="仿宋_GB2312"/>
          <w:sz w:val="32"/>
          <w:szCs w:val="32"/>
        </w:rPr>
        <w:t>mm</w:t>
      </w:r>
      <w:r>
        <w:rPr>
          <w:rFonts w:hint="eastAsia" w:ascii="仿宋_GB2312" w:hAnsi="仿宋" w:eastAsia="仿宋_GB2312"/>
          <w:sz w:val="32"/>
          <w:szCs w:val="32"/>
          <w:vertAlign w:val="superscript"/>
        </w:rPr>
        <w:t>2</w:t>
      </w:r>
      <w:r>
        <w:rPr>
          <w:rFonts w:ascii="仿宋_GB2312" w:hAnsi="仿宋" w:eastAsia="仿宋_GB2312"/>
          <w:sz w:val="32"/>
          <w:szCs w:val="32"/>
        </w:rPr>
        <w:t>，其余空调4</w:t>
      </w:r>
      <w:r>
        <w:rPr>
          <w:rFonts w:hint="eastAsia" w:ascii="仿宋_GB2312" w:hAnsi="仿宋" w:eastAsia="仿宋_GB2312"/>
          <w:sz w:val="32"/>
          <w:szCs w:val="32"/>
        </w:rPr>
        <w:t>mm</w:t>
      </w:r>
      <w:r>
        <w:rPr>
          <w:rFonts w:hint="eastAsia" w:ascii="仿宋_GB2312" w:hAnsi="仿宋" w:eastAsia="仿宋_GB2312"/>
          <w:sz w:val="32"/>
          <w:szCs w:val="32"/>
          <w:vertAlign w:val="superscript"/>
        </w:rPr>
        <w:t>2</w:t>
      </w:r>
      <w:r>
        <w:rPr>
          <w:rFonts w:ascii="仿宋_GB2312" w:hAnsi="仿宋" w:eastAsia="仿宋_GB2312"/>
          <w:sz w:val="32"/>
          <w:szCs w:val="32"/>
        </w:rPr>
        <w:t>，厨房、卫生间4</w:t>
      </w:r>
      <w:r>
        <w:rPr>
          <w:rFonts w:hint="eastAsia" w:ascii="仿宋_GB2312" w:hAnsi="仿宋" w:eastAsia="仿宋_GB2312"/>
          <w:sz w:val="32"/>
          <w:szCs w:val="32"/>
        </w:rPr>
        <w:t>mm</w:t>
      </w:r>
      <w:r>
        <w:rPr>
          <w:rFonts w:hint="eastAsia" w:ascii="仿宋_GB2312" w:hAnsi="仿宋" w:eastAsia="仿宋_GB2312"/>
          <w:sz w:val="32"/>
          <w:szCs w:val="32"/>
          <w:vertAlign w:val="superscript"/>
        </w:rPr>
        <w:t>2</w:t>
      </w:r>
      <w:r>
        <w:rPr>
          <w:rFonts w:ascii="仿宋_GB2312" w:hAnsi="仿宋" w:eastAsia="仿宋_GB2312"/>
          <w:sz w:val="32"/>
          <w:szCs w:val="32"/>
        </w:rPr>
        <w:t>，插座、灯电源2.5</w:t>
      </w:r>
      <w:r>
        <w:rPr>
          <w:rFonts w:hint="eastAsia" w:ascii="仿宋_GB2312" w:hAnsi="仿宋" w:eastAsia="仿宋_GB2312"/>
          <w:sz w:val="32"/>
          <w:szCs w:val="32"/>
        </w:rPr>
        <w:t xml:space="preserve"> mm</w:t>
      </w:r>
      <w:r>
        <w:rPr>
          <w:rFonts w:hint="eastAsia" w:ascii="仿宋_GB2312" w:hAnsi="仿宋" w:eastAsia="仿宋_GB2312"/>
          <w:sz w:val="32"/>
          <w:szCs w:val="32"/>
          <w:vertAlign w:val="superscript"/>
        </w:rPr>
        <w:t>2</w:t>
      </w:r>
      <w:r>
        <w:rPr>
          <w:rFonts w:ascii="仿宋_GB2312" w:hAnsi="仿宋" w:eastAsia="仿宋_GB2312"/>
          <w:sz w:val="32"/>
          <w:szCs w:val="32"/>
        </w:rPr>
        <w:t>，开关线1.5</w:t>
      </w:r>
      <w:r>
        <w:rPr>
          <w:rFonts w:hint="eastAsia" w:ascii="仿宋_GB2312" w:hAnsi="仿宋" w:eastAsia="仿宋_GB2312"/>
          <w:sz w:val="32"/>
          <w:szCs w:val="32"/>
        </w:rPr>
        <w:t xml:space="preserve"> mm</w:t>
      </w:r>
      <w:r>
        <w:rPr>
          <w:rFonts w:hint="eastAsia" w:ascii="仿宋_GB2312" w:hAnsi="仿宋" w:eastAsia="仿宋_GB2312"/>
          <w:sz w:val="32"/>
          <w:szCs w:val="32"/>
          <w:vertAlign w:val="superscript"/>
        </w:rPr>
        <w:t>2</w:t>
      </w:r>
      <w:r>
        <w:rPr>
          <w:rFonts w:ascii="仿宋_GB2312" w:hAnsi="仿宋" w:eastAsia="仿宋_GB2312"/>
          <w:sz w:val="32"/>
          <w:szCs w:val="32"/>
        </w:rPr>
        <w:t>，接地线1.5</w:t>
      </w:r>
      <w:r>
        <w:rPr>
          <w:rFonts w:hint="eastAsia" w:ascii="仿宋_GB2312" w:hAnsi="仿宋" w:eastAsia="仿宋_GB2312"/>
          <w:sz w:val="32"/>
          <w:szCs w:val="32"/>
        </w:rPr>
        <w:t xml:space="preserve"> mm</w:t>
      </w:r>
      <w:r>
        <w:rPr>
          <w:rFonts w:hint="eastAsia" w:ascii="仿宋_GB2312" w:hAnsi="仿宋" w:eastAsia="仿宋_GB2312"/>
          <w:sz w:val="32"/>
          <w:szCs w:val="32"/>
          <w:vertAlign w:val="superscript"/>
        </w:rPr>
        <w:t>2</w:t>
      </w:r>
      <w:r>
        <w:rPr>
          <w:rFonts w:ascii="仿宋_GB2312" w:hAnsi="仿宋" w:eastAsia="仿宋_GB2312"/>
          <w:sz w:val="32"/>
          <w:szCs w:val="32"/>
        </w:rPr>
        <w:t>双色线。</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w:t>
      </w:r>
      <w:r>
        <w:rPr>
          <w:rFonts w:ascii="仿宋_GB2312" w:hAnsi="仿宋" w:eastAsia="仿宋_GB2312"/>
          <w:sz w:val="32"/>
          <w:szCs w:val="32"/>
        </w:rPr>
        <w:t>线盒：</w:t>
      </w:r>
      <w:r>
        <w:rPr>
          <w:rFonts w:hint="eastAsia" w:ascii="仿宋_GB2312" w:hAnsi="仿宋" w:eastAsia="仿宋_GB2312"/>
          <w:sz w:val="32"/>
          <w:szCs w:val="32"/>
        </w:rPr>
        <w:t>国标</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w:t>
      </w:r>
      <w:r>
        <w:rPr>
          <w:rFonts w:ascii="仿宋_GB2312" w:hAnsi="仿宋" w:eastAsia="仿宋_GB2312"/>
          <w:sz w:val="32"/>
          <w:szCs w:val="32"/>
        </w:rPr>
        <w:t>线管：</w:t>
      </w:r>
      <w:r>
        <w:rPr>
          <w:rFonts w:hint="eastAsia" w:ascii="仿宋_GB2312" w:hAnsi="仿宋" w:eastAsia="仿宋_GB2312"/>
          <w:sz w:val="32"/>
          <w:szCs w:val="32"/>
        </w:rPr>
        <w:t>国标PVC</w:t>
      </w:r>
      <w:r>
        <w:rPr>
          <w:rFonts w:ascii="仿宋_GB2312" w:hAnsi="仿宋" w:eastAsia="仿宋_GB2312"/>
          <w:sz w:val="32"/>
          <w:szCs w:val="32"/>
        </w:rPr>
        <w:t>通用中型</w:t>
      </w:r>
      <w:r>
        <w:rPr>
          <w:rFonts w:hint="eastAsia" w:ascii="仿宋_GB2312" w:hAnsi="仿宋" w:eastAsia="仿宋_GB2312"/>
          <w:sz w:val="32"/>
          <w:szCs w:val="32"/>
        </w:rPr>
        <w:t>φ</w:t>
      </w:r>
      <w:r>
        <w:rPr>
          <w:rFonts w:ascii="仿宋_GB2312" w:hAnsi="仿宋" w:eastAsia="仿宋_GB2312"/>
          <w:sz w:val="32"/>
          <w:szCs w:val="32"/>
        </w:rPr>
        <w:t>16</w:t>
      </w:r>
      <w:r>
        <w:rPr>
          <w:rFonts w:hint="eastAsia" w:ascii="仿宋_GB2312" w:hAnsi="仿宋" w:eastAsia="仿宋_GB2312"/>
          <w:sz w:val="32"/>
          <w:szCs w:val="32"/>
        </w:rPr>
        <w:t>mm</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w:t>
      </w:r>
      <w:r>
        <w:rPr>
          <w:rFonts w:ascii="仿宋_GB2312" w:hAnsi="仿宋" w:eastAsia="仿宋_GB2312"/>
          <w:sz w:val="32"/>
          <w:szCs w:val="32"/>
        </w:rPr>
        <w:t>网线：</w:t>
      </w:r>
      <w:r>
        <w:rPr>
          <w:rFonts w:hint="eastAsia" w:ascii="仿宋_GB2312" w:hAnsi="仿宋" w:eastAsia="仿宋_GB2312"/>
          <w:sz w:val="32"/>
          <w:szCs w:val="32"/>
        </w:rPr>
        <w:t>8芯</w:t>
      </w:r>
      <w:r>
        <w:rPr>
          <w:rFonts w:ascii="仿宋_GB2312" w:hAnsi="仿宋" w:eastAsia="仿宋_GB2312"/>
          <w:sz w:val="32"/>
          <w:szCs w:val="32"/>
        </w:rPr>
        <w:t>带屏蔽</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w:t>
      </w:r>
      <w:r>
        <w:rPr>
          <w:rFonts w:ascii="仿宋_GB2312" w:hAnsi="仿宋" w:eastAsia="仿宋_GB2312"/>
          <w:sz w:val="32"/>
          <w:szCs w:val="32"/>
        </w:rPr>
        <w:t>电话线：4芯</w:t>
      </w:r>
      <w:r>
        <w:rPr>
          <w:rFonts w:ascii="仿宋_GB2312" w:hAnsi="仿宋" w:eastAsia="仿宋_GB2312"/>
          <w:sz w:val="32"/>
          <w:szCs w:val="32"/>
        </w:rPr>
        <w:br w:type="textWrapping"/>
      </w:r>
      <w:r>
        <w:rPr>
          <w:rFonts w:hint="eastAsia" w:ascii="仿宋_GB2312" w:hAnsi="仿宋" w:eastAsia="仿宋_GB2312"/>
          <w:b/>
          <w:sz w:val="32"/>
          <w:szCs w:val="32"/>
        </w:rPr>
        <w:t>3.</w:t>
      </w:r>
      <w:r>
        <w:rPr>
          <w:rFonts w:ascii="仿宋_GB2312" w:hAnsi="仿宋" w:eastAsia="仿宋_GB2312"/>
          <w:b/>
          <w:sz w:val="32"/>
          <w:szCs w:val="32"/>
        </w:rPr>
        <w:t>4室内强电系统基本回路分配</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w:t>
      </w:r>
      <w:r>
        <w:rPr>
          <w:rFonts w:ascii="仿宋_GB2312" w:hAnsi="仿宋" w:eastAsia="仿宋_GB2312"/>
          <w:sz w:val="32"/>
          <w:szCs w:val="32"/>
        </w:rPr>
        <w:t>一室一厅：空调回路2个、厨房1个、卫生间1个、插座1个、照明1个、共计6个。</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w:t>
      </w:r>
      <w:r>
        <w:rPr>
          <w:rFonts w:ascii="仿宋_GB2312" w:hAnsi="仿宋" w:eastAsia="仿宋_GB2312"/>
          <w:sz w:val="32"/>
          <w:szCs w:val="32"/>
        </w:rPr>
        <w:t>两室一厅：空调回路3个、厨房1个、卫生间1个、卧室插座1个、客厅插座1个、照明1个，共计8个。</w:t>
      </w:r>
      <w:r>
        <w:rPr>
          <w:rFonts w:ascii="仿宋_GB2312" w:hAnsi="仿宋" w:eastAsia="仿宋_GB2312"/>
          <w:sz w:val="32"/>
          <w:szCs w:val="32"/>
        </w:rPr>
        <w:br w:type="textWrapping"/>
      </w:r>
      <w:r>
        <w:rPr>
          <w:rFonts w:ascii="仿宋_GB2312" w:hAnsi="仿宋" w:eastAsia="仿宋_GB2312"/>
          <w:sz w:val="32"/>
          <w:szCs w:val="32"/>
        </w:rPr>
        <w:t>3</w:t>
      </w:r>
      <w:r>
        <w:rPr>
          <w:rFonts w:hint="eastAsia" w:ascii="仿宋_GB2312" w:hAnsi="仿宋" w:eastAsia="仿宋_GB2312"/>
          <w:sz w:val="32"/>
          <w:szCs w:val="32"/>
        </w:rPr>
        <w:t>.</w:t>
      </w:r>
      <w:r>
        <w:rPr>
          <w:rFonts w:ascii="仿宋_GB2312" w:hAnsi="仿宋" w:eastAsia="仿宋_GB2312"/>
          <w:sz w:val="32"/>
          <w:szCs w:val="32"/>
        </w:rPr>
        <w:t>三室两厅：空调回路4个、厨房1个、卫生间2个、卧室插座1个、客厅插座1个、照明客厅、卧室各1个、共计11个。</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w:t>
      </w:r>
      <w:r>
        <w:rPr>
          <w:rFonts w:ascii="仿宋_GB2312" w:hAnsi="仿宋" w:eastAsia="仿宋_GB2312"/>
          <w:sz w:val="32"/>
          <w:szCs w:val="32"/>
        </w:rPr>
        <w:t>特殊要求：按照施工图及预算施工。</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w:t>
      </w:r>
      <w:r>
        <w:rPr>
          <w:rFonts w:ascii="仿宋_GB2312" w:hAnsi="仿宋" w:eastAsia="仿宋_GB2312"/>
          <w:sz w:val="32"/>
          <w:szCs w:val="32"/>
        </w:rPr>
        <w:t>灯的双控：原则上每个房间一个。（客厅、饭厅算一个）</w:t>
      </w:r>
    </w:p>
    <w:p>
      <w:pPr>
        <w:spacing w:before="156" w:line="600" w:lineRule="exact"/>
        <w:ind w:left="0"/>
        <w:rPr>
          <w:rFonts w:ascii="仿宋_GB2312" w:hAnsi="仿宋" w:eastAsia="仿宋_GB2312"/>
          <w:sz w:val="32"/>
          <w:szCs w:val="32"/>
        </w:rPr>
      </w:pPr>
      <w:r>
        <w:rPr>
          <w:rFonts w:hint="eastAsia" w:ascii="仿宋_GB2312" w:hAnsi="仿宋" w:eastAsia="仿宋_GB2312"/>
          <w:b/>
          <w:sz w:val="32"/>
          <w:szCs w:val="32"/>
        </w:rPr>
        <w:t>3.</w:t>
      </w:r>
      <w:r>
        <w:rPr>
          <w:rFonts w:ascii="仿宋_GB2312" w:hAnsi="仿宋" w:eastAsia="仿宋_GB2312"/>
          <w:b/>
          <w:sz w:val="32"/>
          <w:szCs w:val="32"/>
        </w:rPr>
        <w:t>5室内弱电系统支路分配</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w:t>
      </w:r>
      <w:r>
        <w:rPr>
          <w:rFonts w:ascii="仿宋_GB2312" w:hAnsi="仿宋" w:eastAsia="仿宋_GB2312"/>
          <w:sz w:val="32"/>
          <w:szCs w:val="32"/>
        </w:rPr>
        <w:t>一室一厅：网线2路、电话2路、闭路2路。</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w:t>
      </w:r>
      <w:r>
        <w:rPr>
          <w:rFonts w:ascii="仿宋_GB2312" w:hAnsi="仿宋" w:eastAsia="仿宋_GB2312"/>
          <w:sz w:val="32"/>
          <w:szCs w:val="32"/>
        </w:rPr>
        <w:t>两室一厅：网线3路、电话3路、闭路3路。</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w:t>
      </w:r>
      <w:r>
        <w:rPr>
          <w:rFonts w:ascii="仿宋_GB2312" w:hAnsi="仿宋" w:eastAsia="仿宋_GB2312"/>
          <w:sz w:val="32"/>
          <w:szCs w:val="32"/>
        </w:rPr>
        <w:t>三室两厅：网线4路、电话4路、闭路4路。</w:t>
      </w:r>
      <w:r>
        <w:rPr>
          <w:rFonts w:ascii="仿宋_GB2312" w:hAnsi="仿宋" w:eastAsia="仿宋_GB2312"/>
          <w:sz w:val="32"/>
          <w:szCs w:val="32"/>
        </w:rPr>
        <w:br w:type="textWrapping"/>
      </w:r>
      <w:r>
        <w:rPr>
          <w:rFonts w:hint="eastAsia" w:ascii="仿宋_GB2312" w:hAnsi="仿宋" w:eastAsia="仿宋_GB2312"/>
          <w:b/>
          <w:sz w:val="32"/>
          <w:szCs w:val="32"/>
        </w:rPr>
        <w:t>3.</w:t>
      </w:r>
      <w:r>
        <w:rPr>
          <w:rFonts w:ascii="仿宋_GB2312" w:hAnsi="仿宋" w:eastAsia="仿宋_GB2312"/>
          <w:b/>
          <w:sz w:val="32"/>
          <w:szCs w:val="32"/>
        </w:rPr>
        <w:t>6施工注意事项</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w:t>
      </w:r>
      <w:r>
        <w:rPr>
          <w:rFonts w:ascii="仿宋_GB2312" w:hAnsi="仿宋" w:eastAsia="仿宋_GB2312"/>
          <w:sz w:val="32"/>
          <w:szCs w:val="32"/>
        </w:rPr>
        <w:t>应根据设计图纸中用电设备的位置，确定管线走向、标高及开关、插座的位置。</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w:t>
      </w:r>
      <w:r>
        <w:rPr>
          <w:rFonts w:ascii="仿宋_GB2312" w:hAnsi="仿宋" w:eastAsia="仿宋_GB2312"/>
          <w:sz w:val="32"/>
          <w:szCs w:val="32"/>
        </w:rPr>
        <w:t>强电电源线配线时，必须严格按照</w:t>
      </w:r>
      <w:r>
        <w:rPr>
          <w:rFonts w:hint="eastAsia" w:ascii="仿宋_GB2312" w:hAnsi="仿宋" w:eastAsia="仿宋_GB2312"/>
          <w:sz w:val="32"/>
          <w:szCs w:val="32"/>
        </w:rPr>
        <w:t>图纸配线。</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w:t>
      </w:r>
      <w:r>
        <w:rPr>
          <w:rFonts w:ascii="仿宋_GB2312" w:hAnsi="仿宋" w:eastAsia="仿宋_GB2312"/>
          <w:sz w:val="32"/>
          <w:szCs w:val="32"/>
        </w:rPr>
        <w:t>暗线敷设必须配管。禁用黄腊管代替锁扣进底盒、进配电箱，禁用黄腊管代替线管穿线，代替弯头过弯。（无吊顶顶灯线例外）</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w:t>
      </w:r>
      <w:r>
        <w:rPr>
          <w:rFonts w:ascii="仿宋_GB2312" w:hAnsi="仿宋" w:eastAsia="仿宋_GB2312"/>
          <w:sz w:val="32"/>
          <w:szCs w:val="32"/>
        </w:rPr>
        <w:t>电源线与弱电线不得穿在同一根线管内。强弱线路不得相互借道通过底盒。</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w:t>
      </w:r>
      <w:r>
        <w:rPr>
          <w:rFonts w:ascii="仿宋_GB2312" w:hAnsi="仿宋" w:eastAsia="仿宋_GB2312"/>
          <w:sz w:val="32"/>
          <w:szCs w:val="32"/>
        </w:rPr>
        <w:t>电源线及插座与弱电线及插座的水平间距不应小于500mm.。</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6</w:t>
      </w:r>
      <w:r>
        <w:rPr>
          <w:rFonts w:hint="eastAsia" w:ascii="仿宋_GB2312" w:hAnsi="仿宋" w:eastAsia="仿宋_GB2312"/>
          <w:sz w:val="32"/>
          <w:szCs w:val="32"/>
        </w:rPr>
        <w:t>.</w:t>
      </w:r>
      <w:r>
        <w:rPr>
          <w:rFonts w:ascii="仿宋_GB2312" w:hAnsi="仿宋" w:eastAsia="仿宋_GB2312"/>
          <w:sz w:val="32"/>
          <w:szCs w:val="32"/>
        </w:rPr>
        <w:t>电源线与暖气，热水，燃气管之间的平行距离不应小于300mm.，交叉距离不应小于100mm。</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7</w:t>
      </w:r>
      <w:r>
        <w:rPr>
          <w:rFonts w:hint="eastAsia" w:ascii="仿宋_GB2312" w:hAnsi="仿宋" w:eastAsia="仿宋_GB2312"/>
          <w:sz w:val="32"/>
          <w:szCs w:val="32"/>
        </w:rPr>
        <w:t>.</w:t>
      </w:r>
      <w:r>
        <w:rPr>
          <w:rFonts w:ascii="仿宋_GB2312" w:hAnsi="仿宋" w:eastAsia="仿宋_GB2312"/>
          <w:sz w:val="32"/>
          <w:szCs w:val="32"/>
        </w:rPr>
        <w:t>导线间和导线对地间电阻必须大于0.5M</w:t>
      </w:r>
      <w:r>
        <w:rPr>
          <w:rFonts w:hint="eastAsia" w:ascii="仿宋_GB2312" w:hAnsi="仿宋" w:eastAsia="仿宋_GB2312"/>
          <w:sz w:val="32"/>
          <w:szCs w:val="32"/>
        </w:rPr>
        <w:t>Ω</w:t>
      </w:r>
      <w:r>
        <w:rPr>
          <w:rFonts w:ascii="仿宋_GB2312" w:hAnsi="仿宋" w:eastAsia="仿宋_GB2312"/>
          <w:sz w:val="32"/>
          <w:szCs w:val="32"/>
        </w:rPr>
        <w:t>。</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8</w:t>
      </w:r>
      <w:r>
        <w:rPr>
          <w:rFonts w:hint="eastAsia" w:ascii="仿宋_GB2312" w:hAnsi="仿宋" w:eastAsia="仿宋_GB2312"/>
          <w:sz w:val="32"/>
          <w:szCs w:val="32"/>
        </w:rPr>
        <w:t>.</w:t>
      </w:r>
      <w:r>
        <w:rPr>
          <w:rFonts w:ascii="仿宋_GB2312" w:hAnsi="仿宋" w:eastAsia="仿宋_GB2312"/>
          <w:sz w:val="32"/>
          <w:szCs w:val="32"/>
        </w:rPr>
        <w:t>同一室内的电源、电视、电话等插座面板应在同一水平标高上，高差应小于5mm。</w:t>
      </w:r>
    </w:p>
    <w:p>
      <w:pPr>
        <w:spacing w:before="156" w:line="600" w:lineRule="exact"/>
        <w:ind w:left="0" w:firstLine="640" w:firstLineChars="200"/>
        <w:rPr>
          <w:rFonts w:ascii="仿宋_GB2312" w:hAnsi="仿宋" w:eastAsia="仿宋_GB2312"/>
          <w:sz w:val="32"/>
          <w:szCs w:val="32"/>
        </w:rPr>
      </w:pPr>
      <w:r>
        <w:rPr>
          <w:rFonts w:hint="eastAsia" w:ascii="仿宋_GB2312" w:hAnsi="仿宋" w:eastAsia="仿宋_GB2312"/>
          <w:sz w:val="32"/>
          <w:szCs w:val="32"/>
        </w:rPr>
        <w:t>9.</w:t>
      </w:r>
      <w:r>
        <w:rPr>
          <w:rFonts w:ascii="仿宋_GB2312" w:hAnsi="仿宋" w:eastAsia="仿宋_GB2312"/>
          <w:sz w:val="32"/>
          <w:szCs w:val="32"/>
        </w:rPr>
        <w:t>室内电源箱务必要求客户更换成16位电源箱。厨房、卫生间、插座回路必须安装漏电保护开关，不容许在总开关的前面安装一个总的漏电保护器。</w:t>
      </w:r>
    </w:p>
    <w:p>
      <w:pPr>
        <w:spacing w:before="156" w:line="600" w:lineRule="exact"/>
        <w:ind w:left="0" w:firstLine="640" w:firstLineChars="200"/>
        <w:rPr>
          <w:rFonts w:ascii="仿宋_GB2312" w:hAnsi="仿宋" w:eastAsia="仿宋_GB2312"/>
          <w:sz w:val="32"/>
          <w:szCs w:val="32"/>
        </w:rPr>
      </w:pPr>
      <w:r>
        <w:rPr>
          <w:rFonts w:hint="eastAsia" w:ascii="仿宋_GB2312" w:hAnsi="仿宋" w:eastAsia="仿宋_GB2312"/>
          <w:sz w:val="32"/>
          <w:szCs w:val="32"/>
        </w:rPr>
        <w:t>10.</w:t>
      </w:r>
      <w:r>
        <w:rPr>
          <w:rFonts w:ascii="仿宋_GB2312" w:hAnsi="仿宋" w:eastAsia="仿宋_GB2312"/>
          <w:sz w:val="32"/>
          <w:szCs w:val="32"/>
        </w:rPr>
        <w:t>线管进盒、箱时必须安装锁扣。PVC线管穿线根数要求为：16线管每管不超过4根。</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1.</w:t>
      </w:r>
      <w:r>
        <w:rPr>
          <w:rFonts w:ascii="仿宋_GB2312" w:hAnsi="仿宋" w:eastAsia="仿宋_GB2312"/>
          <w:sz w:val="32"/>
          <w:szCs w:val="32"/>
        </w:rPr>
        <w:t>插座安装必须左零右火。上为地线。</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2.</w:t>
      </w:r>
      <w:r>
        <w:rPr>
          <w:rFonts w:ascii="仿宋_GB2312" w:hAnsi="仿宋" w:eastAsia="仿宋_GB2312"/>
          <w:sz w:val="32"/>
          <w:szCs w:val="32"/>
        </w:rPr>
        <w:t>所有回路零线、接地线禁止相互并联。</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3.</w:t>
      </w:r>
      <w:r>
        <w:rPr>
          <w:rFonts w:ascii="仿宋_GB2312" w:hAnsi="仿宋" w:eastAsia="仿宋_GB2312"/>
          <w:sz w:val="32"/>
          <w:szCs w:val="32"/>
        </w:rPr>
        <w:t>灯控配线安排：客厅主灯3联开关、餐厅灯2联开关，主次卧、跃层客厅、过道必须放双控开关。</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4.</w:t>
      </w:r>
      <w:r>
        <w:rPr>
          <w:rFonts w:ascii="仿宋_GB2312" w:hAnsi="仿宋" w:eastAsia="仿宋_GB2312"/>
          <w:sz w:val="32"/>
          <w:szCs w:val="32"/>
        </w:rPr>
        <w:t>卫生间的电热水器电源必须单独放一组线。</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5.</w:t>
      </w:r>
      <w:r>
        <w:rPr>
          <w:rFonts w:ascii="仿宋_GB2312" w:hAnsi="仿宋" w:eastAsia="仿宋_GB2312"/>
          <w:sz w:val="32"/>
          <w:szCs w:val="32"/>
        </w:rPr>
        <w:t>顶棚射灯、筒灯的出管分线必须经圆三通接波纹管。禁止裸线明放。</w:t>
      </w:r>
      <w:r>
        <w:rPr>
          <w:rFonts w:ascii="仿宋_GB2312" w:hAnsi="仿宋" w:eastAsia="仿宋_GB2312"/>
          <w:sz w:val="32"/>
          <w:szCs w:val="32"/>
        </w:rPr>
        <w:br w:type="textWrapping"/>
      </w:r>
      <w:r>
        <w:rPr>
          <w:rFonts w:hint="eastAsia" w:ascii="仿宋_GB2312" w:hAnsi="仿宋" w:eastAsia="仿宋_GB2312"/>
          <w:b/>
          <w:sz w:val="32"/>
          <w:szCs w:val="32"/>
        </w:rPr>
        <w:t>3.</w:t>
      </w:r>
      <w:r>
        <w:rPr>
          <w:rFonts w:ascii="仿宋_GB2312" w:hAnsi="仿宋" w:eastAsia="仿宋_GB2312"/>
          <w:b/>
          <w:sz w:val="32"/>
          <w:szCs w:val="32"/>
        </w:rPr>
        <w:t>7PVC通用中型线管敷设活络线工艺</w:t>
      </w:r>
      <w:r>
        <w:rPr>
          <w:rFonts w:ascii="仿宋_GB2312" w:hAnsi="仿宋" w:eastAsia="仿宋_GB2312"/>
          <w:sz w:val="32"/>
          <w:szCs w:val="32"/>
        </w:rPr>
        <w:br w:type="textWrapping"/>
      </w:r>
      <w:r>
        <w:rPr>
          <w:rFonts w:hint="eastAsia" w:ascii="仿宋_GB2312" w:hAnsi="仿宋" w:eastAsia="仿宋_GB2312"/>
          <w:b/>
          <w:sz w:val="32"/>
          <w:szCs w:val="32"/>
        </w:rPr>
        <w:t>3.</w:t>
      </w:r>
      <w:r>
        <w:rPr>
          <w:rFonts w:ascii="仿宋_GB2312" w:hAnsi="仿宋" w:eastAsia="仿宋_GB2312"/>
          <w:b/>
          <w:sz w:val="32"/>
          <w:szCs w:val="32"/>
        </w:rPr>
        <w:t>7</w:t>
      </w:r>
      <w:r>
        <w:rPr>
          <w:rFonts w:hint="eastAsia" w:ascii="仿宋_GB2312" w:hAnsi="仿宋" w:eastAsia="仿宋_GB2312"/>
          <w:b/>
          <w:sz w:val="32"/>
          <w:szCs w:val="32"/>
        </w:rPr>
        <w:t>.1</w:t>
      </w:r>
      <w:r>
        <w:rPr>
          <w:rFonts w:ascii="仿宋_GB2312" w:hAnsi="仿宋" w:eastAsia="仿宋_GB2312"/>
          <w:b/>
          <w:sz w:val="32"/>
          <w:szCs w:val="32"/>
        </w:rPr>
        <w:t>工艺流程</w:t>
      </w:r>
      <w:r>
        <w:rPr>
          <w:rFonts w:ascii="仿宋_GB2312" w:hAnsi="仿宋" w:eastAsia="仿宋_GB2312"/>
          <w:sz w:val="32"/>
          <w:szCs w:val="32"/>
        </w:rPr>
        <w:br w:type="textWrapping"/>
      </w:r>
      <w:r>
        <w:rPr>
          <w:rFonts w:hint="eastAsia" w:ascii="仿宋_GB2312" w:hAnsi="仿宋" w:eastAsia="仿宋_GB2312"/>
          <w:sz w:val="32"/>
          <w:szCs w:val="32"/>
        </w:rPr>
        <w:t xml:space="preserve">    </w:t>
      </w:r>
      <w:r>
        <w:rPr>
          <w:rFonts w:ascii="仿宋_GB2312" w:hAnsi="仿宋" w:eastAsia="仿宋_GB2312"/>
          <w:sz w:val="32"/>
          <w:szCs w:val="32"/>
        </w:rPr>
        <w:t>弹线定位，稳埋盒箱，敷设管路，管路穿线。</w:t>
      </w:r>
      <w:r>
        <w:rPr>
          <w:rFonts w:ascii="仿宋_GB2312" w:hAnsi="仿宋" w:eastAsia="仿宋_GB2312"/>
          <w:sz w:val="32"/>
          <w:szCs w:val="32"/>
        </w:rPr>
        <w:br w:type="textWrapping"/>
      </w:r>
      <w:r>
        <w:rPr>
          <w:rFonts w:hint="eastAsia" w:ascii="仿宋_GB2312" w:hAnsi="仿宋" w:eastAsia="仿宋_GB2312"/>
          <w:b/>
          <w:sz w:val="32"/>
          <w:szCs w:val="32"/>
        </w:rPr>
        <w:t>3.</w:t>
      </w:r>
      <w:r>
        <w:rPr>
          <w:rFonts w:ascii="仿宋_GB2312" w:hAnsi="仿宋" w:eastAsia="仿宋_GB2312"/>
          <w:b/>
          <w:sz w:val="32"/>
          <w:szCs w:val="32"/>
        </w:rPr>
        <w:t>7</w:t>
      </w:r>
      <w:r>
        <w:rPr>
          <w:rFonts w:hint="eastAsia" w:ascii="仿宋_GB2312" w:hAnsi="仿宋" w:eastAsia="仿宋_GB2312"/>
          <w:b/>
          <w:sz w:val="32"/>
          <w:szCs w:val="32"/>
        </w:rPr>
        <w:t>.2</w:t>
      </w:r>
      <w:r>
        <w:rPr>
          <w:rFonts w:ascii="仿宋_GB2312" w:hAnsi="仿宋" w:eastAsia="仿宋_GB2312"/>
          <w:b/>
          <w:sz w:val="32"/>
          <w:szCs w:val="32"/>
        </w:rPr>
        <w:t>施工方法</w:t>
      </w:r>
      <w:r>
        <w:rPr>
          <w:rFonts w:ascii="仿宋_GB2312" w:hAnsi="仿宋" w:eastAsia="仿宋_GB2312"/>
          <w:sz w:val="32"/>
          <w:szCs w:val="32"/>
        </w:rPr>
        <w:br w:type="textWrapping"/>
      </w:r>
      <w:r>
        <w:rPr>
          <w:rFonts w:hint="eastAsia" w:ascii="仿宋_GB2312" w:hAnsi="仿宋" w:eastAsia="仿宋_GB2312"/>
          <w:b/>
          <w:bCs/>
          <w:sz w:val="32"/>
          <w:szCs w:val="32"/>
        </w:rPr>
        <w:t xml:space="preserve">    </w:t>
      </w:r>
      <w:r>
        <w:rPr>
          <w:rFonts w:ascii="仿宋_GB2312" w:hAnsi="仿宋" w:eastAsia="仿宋_GB2312"/>
          <w:b/>
          <w:bCs/>
          <w:sz w:val="32"/>
          <w:szCs w:val="32"/>
        </w:rPr>
        <w:t>1</w:t>
      </w:r>
      <w:r>
        <w:rPr>
          <w:rFonts w:hint="eastAsia" w:ascii="仿宋_GB2312" w:hAnsi="仿宋" w:eastAsia="仿宋_GB2312"/>
          <w:b/>
          <w:bCs/>
          <w:sz w:val="32"/>
          <w:szCs w:val="32"/>
        </w:rPr>
        <w:t>.</w:t>
      </w:r>
      <w:r>
        <w:rPr>
          <w:rFonts w:ascii="仿宋_GB2312" w:hAnsi="仿宋" w:eastAsia="仿宋_GB2312"/>
          <w:b/>
          <w:bCs/>
          <w:sz w:val="32"/>
          <w:szCs w:val="32"/>
        </w:rPr>
        <w:t>弹线定位</w:t>
      </w:r>
      <w:r>
        <w:rPr>
          <w:rFonts w:hint="eastAsia" w:ascii="仿宋_GB2312" w:hAnsi="仿宋" w:eastAsia="仿宋_GB2312"/>
          <w:sz w:val="32"/>
          <w:szCs w:val="32"/>
        </w:rPr>
        <w:t>。</w:t>
      </w:r>
      <w:r>
        <w:rPr>
          <w:rFonts w:ascii="仿宋_GB2312" w:hAnsi="仿宋" w:eastAsia="仿宋_GB2312"/>
          <w:sz w:val="32"/>
          <w:szCs w:val="32"/>
        </w:rPr>
        <w:t>按照设计要求，在墙面确定开关盒、插座盒以及配电箱的位置并定位弹线，标出尺寸。线路应尽量减少弯曲；美观整齐。</w:t>
      </w:r>
    </w:p>
    <w:p>
      <w:pPr>
        <w:spacing w:before="156" w:line="600" w:lineRule="exact"/>
        <w:ind w:left="0" w:firstLine="643" w:firstLineChars="200"/>
        <w:rPr>
          <w:rFonts w:ascii="仿宋_GB2312" w:hAnsi="仿宋" w:eastAsia="仿宋_GB2312"/>
          <w:b/>
          <w:bCs/>
          <w:sz w:val="32"/>
          <w:szCs w:val="32"/>
        </w:rPr>
      </w:pPr>
      <w:r>
        <w:rPr>
          <w:rFonts w:ascii="仿宋_GB2312" w:hAnsi="仿宋" w:eastAsia="仿宋_GB2312"/>
          <w:b/>
          <w:bCs/>
          <w:sz w:val="32"/>
          <w:szCs w:val="32"/>
        </w:rPr>
        <w:t>2</w:t>
      </w:r>
      <w:r>
        <w:rPr>
          <w:rFonts w:hint="eastAsia" w:ascii="仿宋_GB2312" w:hAnsi="仿宋" w:eastAsia="仿宋_GB2312"/>
          <w:b/>
          <w:bCs/>
          <w:sz w:val="32"/>
          <w:szCs w:val="32"/>
        </w:rPr>
        <w:t>.埋箱要求。</w:t>
      </w:r>
      <w:r>
        <w:rPr>
          <w:rFonts w:ascii="仿宋_GB2312" w:hAnsi="仿宋" w:eastAsia="仿宋_GB2312"/>
          <w:sz w:val="32"/>
          <w:szCs w:val="32"/>
        </w:rPr>
        <w:t>墙体内稳埋盒、箱。按照进场交底时定好的位置，对照设计图纸检查线盒、配电箱的准确位置，用水泥砂浆将盒、箱稳埋端正，等水泥砂浆凝固达到一定的强度后，接管入盒、箱。</w:t>
      </w:r>
    </w:p>
    <w:p>
      <w:pPr>
        <w:spacing w:before="156" w:line="360" w:lineRule="auto"/>
        <w:jc w:val="center"/>
        <w:rPr>
          <w:rFonts w:ascii="仿宋_GB2312" w:eastAsia="仿宋_GB2312"/>
          <w:b/>
          <w:bCs/>
          <w:sz w:val="36"/>
          <w:szCs w:val="36"/>
        </w:rPr>
      </w:pPr>
    </w:p>
    <w:p>
      <w:pPr>
        <w:spacing w:before="156" w:line="360" w:lineRule="auto"/>
        <w:jc w:val="center"/>
        <w:rPr>
          <w:b/>
          <w:bCs/>
          <w:sz w:val="10"/>
          <w:szCs w:val="10"/>
        </w:rPr>
      </w:pPr>
      <w:r>
        <w:rPr>
          <w:rFonts w:ascii="仿宋_GB2312" w:eastAsia="仿宋_GB2312"/>
          <w:b/>
          <w:bCs/>
          <w:sz w:val="36"/>
          <w:szCs w:val="36"/>
        </w:rPr>
        <w:t xml:space="preserve">4  </w:t>
      </w:r>
      <w:r>
        <w:rPr>
          <w:rFonts w:hint="eastAsia" w:ascii="仿宋_GB2312" w:eastAsia="仿宋_GB2312"/>
          <w:b/>
          <w:bCs/>
          <w:sz w:val="36"/>
          <w:szCs w:val="36"/>
        </w:rPr>
        <w:t>室内装修防火要求</w:t>
      </w:r>
    </w:p>
    <w:p>
      <w:pPr>
        <w:spacing w:before="156" w:line="360" w:lineRule="auto"/>
        <w:ind w:left="0"/>
        <w:jc w:val="left"/>
        <w:rPr>
          <w:b/>
          <w:bCs/>
          <w:sz w:val="10"/>
          <w:szCs w:val="10"/>
        </w:rPr>
      </w:pPr>
      <w:r>
        <w:rPr>
          <w:rFonts w:ascii="仿宋_GB2312" w:hAnsi="仿宋" w:eastAsia="仿宋_GB2312"/>
          <w:b/>
          <w:bCs/>
          <w:sz w:val="32"/>
          <w:szCs w:val="32"/>
        </w:rPr>
        <w:t>4.1</w:t>
      </w:r>
      <w:r>
        <w:rPr>
          <w:rFonts w:hint="eastAsia" w:ascii="仿宋_GB2312" w:hAnsi="仿宋" w:eastAsia="仿宋_GB2312"/>
          <w:sz w:val="32"/>
          <w:szCs w:val="32"/>
        </w:rPr>
        <w:t>户内装修材料燃烧性能等级不应低于表</w:t>
      </w:r>
      <w:r>
        <w:rPr>
          <w:rFonts w:ascii="仿宋_GB2312" w:hAnsi="仿宋" w:eastAsia="仿宋_GB2312"/>
          <w:sz w:val="32"/>
          <w:szCs w:val="32"/>
        </w:rPr>
        <w:t>4.1</w:t>
      </w:r>
      <w:r>
        <w:rPr>
          <w:rFonts w:hint="eastAsia" w:ascii="仿宋_GB2312" w:hAnsi="仿宋" w:eastAsia="仿宋_GB2312"/>
          <w:sz w:val="32"/>
          <w:szCs w:val="32"/>
        </w:rPr>
        <w:t>的规定：</w:t>
      </w:r>
    </w:p>
    <w:tbl>
      <w:tblPr>
        <w:tblStyle w:val="6"/>
        <w:tblpPr w:leftFromText="180" w:rightFromText="180" w:vertAnchor="text" w:horzAnchor="margin" w:tblpXSpec="center" w:tblpY="896"/>
        <w:tblOverlap w:val="never"/>
        <w:tblW w:w="94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67"/>
        <w:gridCol w:w="2367"/>
        <w:gridCol w:w="2368"/>
        <w:gridCol w:w="23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8" w:hRule="atLeast"/>
        </w:trPr>
        <w:tc>
          <w:tcPr>
            <w:tcW w:w="2367" w:type="dxa"/>
            <w:vAlign w:val="center"/>
          </w:tcPr>
          <w:p>
            <w:pPr>
              <w:spacing w:before="156" w:line="360" w:lineRule="auto"/>
              <w:ind w:left="0"/>
              <w:jc w:val="center"/>
              <w:rPr>
                <w:rFonts w:ascii="仿宋_GB2312" w:hAnsi="仿宋" w:eastAsia="仿宋_GB2312"/>
                <w:sz w:val="32"/>
                <w:szCs w:val="32"/>
              </w:rPr>
            </w:pPr>
            <w:r>
              <w:rPr>
                <w:rFonts w:hint="eastAsia" w:ascii="仿宋_GB2312" w:hAnsi="仿宋" w:eastAsia="仿宋_GB2312"/>
                <w:sz w:val="32"/>
                <w:szCs w:val="32"/>
              </w:rPr>
              <w:t>顶棚</w:t>
            </w:r>
          </w:p>
        </w:tc>
        <w:tc>
          <w:tcPr>
            <w:tcW w:w="2367" w:type="dxa"/>
            <w:vAlign w:val="center"/>
          </w:tcPr>
          <w:p>
            <w:pPr>
              <w:spacing w:before="156" w:line="360" w:lineRule="auto"/>
              <w:ind w:left="0"/>
              <w:jc w:val="center"/>
              <w:rPr>
                <w:rFonts w:ascii="仿宋_GB2312" w:hAnsi="仿宋" w:eastAsia="仿宋_GB2312"/>
                <w:sz w:val="32"/>
                <w:szCs w:val="32"/>
              </w:rPr>
            </w:pPr>
            <w:r>
              <w:rPr>
                <w:rFonts w:hint="eastAsia" w:ascii="仿宋_GB2312" w:hAnsi="仿宋" w:eastAsia="仿宋_GB2312"/>
                <w:sz w:val="32"/>
                <w:szCs w:val="32"/>
              </w:rPr>
              <w:t>墙面</w:t>
            </w:r>
          </w:p>
        </w:tc>
        <w:tc>
          <w:tcPr>
            <w:tcW w:w="2368" w:type="dxa"/>
            <w:vAlign w:val="center"/>
          </w:tcPr>
          <w:p>
            <w:pPr>
              <w:spacing w:before="156" w:line="360" w:lineRule="auto"/>
              <w:ind w:left="0"/>
              <w:jc w:val="center"/>
              <w:rPr>
                <w:rFonts w:ascii="仿宋_GB2312" w:hAnsi="仿宋" w:eastAsia="仿宋_GB2312"/>
                <w:sz w:val="32"/>
                <w:szCs w:val="32"/>
              </w:rPr>
            </w:pPr>
            <w:r>
              <w:rPr>
                <w:rFonts w:hint="eastAsia" w:ascii="仿宋_GB2312" w:hAnsi="仿宋" w:eastAsia="仿宋_GB2312"/>
                <w:sz w:val="32"/>
                <w:szCs w:val="32"/>
              </w:rPr>
              <w:t>地面</w:t>
            </w:r>
          </w:p>
        </w:tc>
        <w:tc>
          <w:tcPr>
            <w:tcW w:w="2368" w:type="dxa"/>
            <w:vAlign w:val="center"/>
          </w:tcPr>
          <w:p>
            <w:pPr>
              <w:spacing w:before="156" w:line="360" w:lineRule="auto"/>
              <w:ind w:left="0"/>
              <w:jc w:val="center"/>
              <w:rPr>
                <w:rFonts w:ascii="仿宋_GB2312" w:hAnsi="仿宋" w:eastAsia="仿宋_GB2312"/>
                <w:sz w:val="32"/>
                <w:szCs w:val="32"/>
              </w:rPr>
            </w:pPr>
            <w:r>
              <w:rPr>
                <w:rFonts w:hint="eastAsia" w:ascii="仿宋_GB2312" w:hAnsi="仿宋" w:eastAsia="仿宋_GB2312"/>
                <w:sz w:val="32"/>
                <w:szCs w:val="32"/>
              </w:rPr>
              <w:t>其它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7" w:hRule="atLeast"/>
        </w:trPr>
        <w:tc>
          <w:tcPr>
            <w:tcW w:w="2367" w:type="dxa"/>
            <w:vAlign w:val="center"/>
          </w:tcPr>
          <w:p>
            <w:pPr>
              <w:spacing w:before="156" w:line="360" w:lineRule="auto"/>
              <w:ind w:left="0"/>
              <w:jc w:val="center"/>
              <w:rPr>
                <w:rFonts w:ascii="仿宋_GB2312" w:hAnsi="仿宋" w:eastAsia="仿宋_GB2312"/>
                <w:sz w:val="32"/>
                <w:szCs w:val="32"/>
              </w:rPr>
            </w:pPr>
            <w:r>
              <w:rPr>
                <w:rFonts w:hint="eastAsia" w:ascii="仿宋_GB2312" w:hAnsi="仿宋" w:eastAsia="仿宋_GB2312"/>
                <w:sz w:val="32"/>
                <w:szCs w:val="32"/>
              </w:rPr>
              <w:t>B1</w:t>
            </w:r>
          </w:p>
        </w:tc>
        <w:tc>
          <w:tcPr>
            <w:tcW w:w="2367" w:type="dxa"/>
            <w:vAlign w:val="center"/>
          </w:tcPr>
          <w:p>
            <w:pPr>
              <w:spacing w:before="156" w:line="360" w:lineRule="auto"/>
              <w:ind w:left="0"/>
              <w:jc w:val="center"/>
              <w:rPr>
                <w:rFonts w:ascii="仿宋_GB2312" w:hAnsi="仿宋" w:eastAsia="仿宋_GB2312"/>
                <w:sz w:val="32"/>
                <w:szCs w:val="32"/>
              </w:rPr>
            </w:pPr>
            <w:r>
              <w:rPr>
                <w:rFonts w:hint="eastAsia" w:ascii="仿宋_GB2312" w:hAnsi="仿宋" w:eastAsia="仿宋_GB2312"/>
                <w:sz w:val="32"/>
                <w:szCs w:val="32"/>
              </w:rPr>
              <w:t>B1</w:t>
            </w:r>
          </w:p>
        </w:tc>
        <w:tc>
          <w:tcPr>
            <w:tcW w:w="2368" w:type="dxa"/>
            <w:vAlign w:val="center"/>
          </w:tcPr>
          <w:p>
            <w:pPr>
              <w:spacing w:before="156" w:line="360" w:lineRule="auto"/>
              <w:ind w:left="0"/>
              <w:jc w:val="center"/>
              <w:rPr>
                <w:rFonts w:ascii="仿宋_GB2312" w:hAnsi="仿宋" w:eastAsia="仿宋_GB2312"/>
                <w:sz w:val="32"/>
                <w:szCs w:val="32"/>
              </w:rPr>
            </w:pPr>
            <w:r>
              <w:rPr>
                <w:rFonts w:hint="eastAsia" w:ascii="仿宋_GB2312" w:hAnsi="仿宋" w:eastAsia="仿宋_GB2312"/>
                <w:sz w:val="32"/>
                <w:szCs w:val="32"/>
              </w:rPr>
              <w:t>B1</w:t>
            </w:r>
          </w:p>
        </w:tc>
        <w:tc>
          <w:tcPr>
            <w:tcW w:w="2368" w:type="dxa"/>
            <w:vAlign w:val="center"/>
          </w:tcPr>
          <w:p>
            <w:pPr>
              <w:spacing w:before="156" w:line="360" w:lineRule="auto"/>
              <w:ind w:left="0"/>
              <w:jc w:val="center"/>
              <w:rPr>
                <w:rFonts w:ascii="仿宋_GB2312" w:hAnsi="仿宋" w:eastAsia="仿宋_GB2312"/>
                <w:sz w:val="32"/>
                <w:szCs w:val="32"/>
              </w:rPr>
            </w:pPr>
            <w:r>
              <w:rPr>
                <w:rFonts w:ascii="仿宋_GB2312" w:hAnsi="仿宋" w:eastAsia="仿宋_GB2312"/>
                <w:sz w:val="32"/>
                <w:szCs w:val="32"/>
              </w:rPr>
              <w:t>B2</w:t>
            </w:r>
          </w:p>
        </w:tc>
      </w:tr>
    </w:tbl>
    <w:p>
      <w:pPr>
        <w:spacing w:before="156" w:line="360" w:lineRule="auto"/>
        <w:ind w:left="53" w:leftChars="25" w:firstLine="1920" w:firstLineChars="600"/>
        <w:jc w:val="left"/>
        <w:rPr>
          <w:rFonts w:ascii="仿宋_GB2312" w:hAnsi="仿宋" w:eastAsia="仿宋_GB2312"/>
          <w:sz w:val="32"/>
          <w:szCs w:val="32"/>
        </w:rPr>
      </w:pPr>
      <w:r>
        <w:rPr>
          <w:rFonts w:hint="eastAsia" w:ascii="仿宋_GB2312" w:hAnsi="仿宋" w:eastAsia="仿宋_GB2312"/>
          <w:sz w:val="32"/>
          <w:szCs w:val="32"/>
        </w:rPr>
        <w:t>表</w:t>
      </w:r>
      <w:r>
        <w:rPr>
          <w:rFonts w:ascii="仿宋_GB2312" w:hAnsi="仿宋" w:eastAsia="仿宋_GB2312"/>
          <w:sz w:val="32"/>
          <w:szCs w:val="32"/>
        </w:rPr>
        <w:t xml:space="preserve">4.1  </w:t>
      </w:r>
      <w:r>
        <w:rPr>
          <w:rFonts w:hint="eastAsia" w:ascii="仿宋_GB2312" w:hAnsi="仿宋" w:eastAsia="仿宋_GB2312"/>
          <w:sz w:val="32"/>
          <w:szCs w:val="32"/>
        </w:rPr>
        <w:t>装饰材料燃烧性能等级</w:t>
      </w:r>
    </w:p>
    <w:p>
      <w:pPr>
        <w:spacing w:before="156" w:line="360" w:lineRule="auto"/>
        <w:ind w:left="53" w:leftChars="25"/>
        <w:jc w:val="left"/>
        <w:rPr>
          <w:rFonts w:ascii="仿宋_GB2312" w:hAnsi="仿宋" w:eastAsia="仿宋_GB2312"/>
          <w:sz w:val="32"/>
          <w:szCs w:val="32"/>
        </w:rPr>
      </w:pPr>
      <w:r>
        <w:rPr>
          <w:rFonts w:hint="eastAsia" w:ascii="仿宋_GB2312" w:hAnsi="仿宋" w:eastAsia="仿宋_GB2312"/>
          <w:sz w:val="32"/>
          <w:szCs w:val="32"/>
        </w:rPr>
        <w:t>备注：装修材料燃烧性能等级划分：A</w:t>
      </w:r>
      <w:r>
        <w:rPr>
          <w:rFonts w:ascii="仿宋_GB2312" w:hAnsi="仿宋" w:eastAsia="仿宋_GB2312"/>
          <w:sz w:val="32"/>
          <w:szCs w:val="32"/>
        </w:rPr>
        <w:t>-</w:t>
      </w:r>
      <w:r>
        <w:rPr>
          <w:rFonts w:hint="eastAsia" w:ascii="仿宋_GB2312" w:hAnsi="仿宋" w:eastAsia="仿宋_GB2312"/>
          <w:sz w:val="32"/>
          <w:szCs w:val="32"/>
        </w:rPr>
        <w:t>不燃性；BI-难燃性；</w:t>
      </w:r>
      <w:r>
        <w:rPr>
          <w:rFonts w:ascii="仿宋_GB2312" w:hAnsi="仿宋" w:eastAsia="仿宋_GB2312"/>
          <w:sz w:val="32"/>
          <w:szCs w:val="32"/>
        </w:rPr>
        <w:t>B2-</w:t>
      </w:r>
      <w:r>
        <w:rPr>
          <w:rFonts w:hint="eastAsia" w:ascii="仿宋_GB2312" w:hAnsi="仿宋" w:eastAsia="仿宋_GB2312"/>
          <w:sz w:val="32"/>
          <w:szCs w:val="32"/>
        </w:rPr>
        <w:t>可燃性；</w:t>
      </w:r>
    </w:p>
    <w:p>
      <w:pPr>
        <w:spacing w:before="156" w:line="360" w:lineRule="auto"/>
        <w:ind w:left="0"/>
        <w:rPr>
          <w:rFonts w:ascii="仿宋_GB2312" w:hAnsi="仿宋" w:eastAsia="仿宋_GB2312"/>
          <w:sz w:val="32"/>
          <w:szCs w:val="32"/>
        </w:rPr>
      </w:pPr>
      <w:r>
        <w:rPr>
          <w:rFonts w:ascii="仿宋_GB2312" w:hAnsi="仿宋" w:eastAsia="仿宋_GB2312"/>
          <w:b/>
          <w:bCs/>
          <w:sz w:val="32"/>
          <w:szCs w:val="32"/>
        </w:rPr>
        <w:t>4.2</w:t>
      </w:r>
      <w:r>
        <w:rPr>
          <w:rFonts w:hint="eastAsia" w:ascii="仿宋_GB2312" w:hAnsi="仿宋" w:eastAsia="仿宋_GB2312"/>
          <w:sz w:val="32"/>
          <w:szCs w:val="32"/>
        </w:rPr>
        <w:t>所有导线应穿管或加线槽板保护，吊顶内的导线应穿金属管或</w:t>
      </w:r>
      <w:r>
        <w:rPr>
          <w:rFonts w:ascii="仿宋_GB2312" w:hAnsi="仿宋" w:eastAsia="仿宋_GB2312"/>
          <w:sz w:val="32"/>
          <w:szCs w:val="32"/>
        </w:rPr>
        <w:t>B1</w:t>
      </w:r>
      <w:r>
        <w:rPr>
          <w:rFonts w:hint="eastAsia" w:ascii="仿宋_GB2312" w:hAnsi="仿宋" w:eastAsia="仿宋_GB2312"/>
          <w:sz w:val="32"/>
          <w:szCs w:val="32"/>
        </w:rPr>
        <w:t>级</w:t>
      </w:r>
      <w:r>
        <w:rPr>
          <w:rFonts w:ascii="仿宋_GB2312" w:hAnsi="仿宋" w:eastAsia="仿宋_GB2312"/>
          <w:sz w:val="32"/>
          <w:szCs w:val="32"/>
        </w:rPr>
        <w:t>PVC</w:t>
      </w:r>
      <w:r>
        <w:rPr>
          <w:rFonts w:hint="eastAsia" w:ascii="仿宋_GB2312" w:hAnsi="仿宋" w:eastAsia="仿宋_GB2312"/>
          <w:sz w:val="32"/>
          <w:szCs w:val="32"/>
        </w:rPr>
        <w:t>管保护，不得裸露。</w:t>
      </w:r>
    </w:p>
    <w:p>
      <w:pPr>
        <w:spacing w:before="156"/>
        <w:ind w:left="0"/>
        <w:rPr>
          <w:rFonts w:ascii="仿宋_GB2312" w:hAnsi="仿宋" w:eastAsia="仿宋_GB2312"/>
          <w:sz w:val="32"/>
          <w:szCs w:val="32"/>
          <w:lang w:val="zh-CN"/>
        </w:rPr>
      </w:pPr>
      <w:r>
        <w:rPr>
          <w:rFonts w:hint="eastAsia" w:ascii="仿宋_GB2312" w:hAnsi="仿宋" w:eastAsia="仿宋_GB2312"/>
          <w:b/>
          <w:bCs/>
          <w:sz w:val="32"/>
          <w:szCs w:val="32"/>
        </w:rPr>
        <w:t>4.3</w:t>
      </w:r>
      <w:r>
        <w:rPr>
          <w:rFonts w:hint="eastAsia" w:ascii="仿宋_GB2312" w:hAnsi="仿宋" w:eastAsia="仿宋_GB2312"/>
          <w:sz w:val="32"/>
          <w:szCs w:val="32"/>
          <w:lang w:val="zh-CN"/>
        </w:rPr>
        <w:t>根据建筑设计防火规范要求，在室内装饰工程中积极采用不燃性材料和难燃性材料。</w:t>
      </w:r>
    </w:p>
    <w:p>
      <w:pPr>
        <w:spacing w:before="156"/>
        <w:ind w:left="0"/>
        <w:rPr>
          <w:rFonts w:ascii="仿宋_GB2312" w:hAnsi="仿宋" w:eastAsia="仿宋_GB2312"/>
          <w:sz w:val="32"/>
          <w:szCs w:val="32"/>
        </w:rPr>
      </w:pPr>
      <w:r>
        <w:rPr>
          <w:rFonts w:hint="eastAsia" w:ascii="仿宋_GB2312" w:hAnsi="仿宋" w:eastAsia="仿宋_GB2312"/>
          <w:b/>
          <w:bCs/>
          <w:sz w:val="32"/>
          <w:szCs w:val="32"/>
        </w:rPr>
        <w:t>4.</w:t>
      </w:r>
      <w:r>
        <w:rPr>
          <w:rFonts w:ascii="仿宋_GB2312" w:hAnsi="仿宋" w:eastAsia="仿宋_GB2312"/>
          <w:b/>
          <w:bCs/>
          <w:sz w:val="32"/>
          <w:szCs w:val="32"/>
        </w:rPr>
        <w:t>4</w:t>
      </w:r>
      <w:r>
        <w:rPr>
          <w:rFonts w:hint="eastAsia" w:ascii="仿宋_GB2312" w:hAnsi="仿宋" w:eastAsia="仿宋_GB2312"/>
          <w:sz w:val="32"/>
          <w:szCs w:val="32"/>
          <w:lang w:val="zh-CN"/>
        </w:rPr>
        <w:t>除个别室内设计有矛盾调整位置，烟感报警系统、常规消防系统、自动喷淋系统及排烟系统基本上保留原消防设计。</w:t>
      </w:r>
    </w:p>
    <w:p>
      <w:pPr>
        <w:spacing w:before="156" w:line="360" w:lineRule="auto"/>
        <w:jc w:val="center"/>
        <w:rPr>
          <w:rFonts w:ascii="仿宋_GB2312" w:eastAsia="仿宋_GB2312"/>
          <w:b/>
          <w:bCs/>
          <w:sz w:val="36"/>
          <w:szCs w:val="36"/>
        </w:rPr>
      </w:pPr>
    </w:p>
    <w:p>
      <w:pPr>
        <w:spacing w:before="156" w:line="360" w:lineRule="auto"/>
        <w:jc w:val="center"/>
        <w:rPr>
          <w:b/>
          <w:bCs/>
          <w:sz w:val="10"/>
          <w:szCs w:val="10"/>
        </w:rPr>
      </w:pPr>
      <w:r>
        <w:rPr>
          <w:rFonts w:hint="eastAsia" w:ascii="仿宋_GB2312" w:eastAsia="仿宋_GB2312"/>
          <w:b/>
          <w:bCs/>
          <w:sz w:val="36"/>
          <w:szCs w:val="36"/>
        </w:rPr>
        <w:t>5客厅和餐厅</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5.1</w:t>
      </w:r>
      <w:r>
        <w:rPr>
          <w:rFonts w:hint="eastAsia" w:ascii="仿宋_GB2312" w:hAnsi="仿宋" w:eastAsia="仿宋_GB2312"/>
          <w:sz w:val="32"/>
          <w:szCs w:val="32"/>
        </w:rPr>
        <w:t>装饰设计应根据不同户型的平面格局，合理划分就餐区域。合理的平面布置以方便家具摆放，并具有满足使用者个性化需求的可能性。以空间的宽敞化、空间的最高化、景观的最佳化、照明的最亮化、风格的普及化、材质的通用化为标准。</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5.2</w:t>
      </w:r>
      <w:r>
        <w:rPr>
          <w:rFonts w:hint="eastAsia" w:ascii="仿宋_GB2312" w:hAnsi="仿宋" w:eastAsia="仿宋_GB2312"/>
          <w:b/>
          <w:bCs/>
          <w:sz w:val="32"/>
          <w:szCs w:val="32"/>
        </w:rPr>
        <w:t xml:space="preserve"> </w:t>
      </w:r>
      <w:r>
        <w:rPr>
          <w:rFonts w:hint="eastAsia" w:ascii="仿宋_GB2312" w:hAnsi="仿宋" w:eastAsia="仿宋_GB2312"/>
          <w:sz w:val="32"/>
          <w:szCs w:val="32"/>
        </w:rPr>
        <w:t>Ⅰ类装修标准的天花不设吊顶，Ⅱ类沿客餐厅屋顶做一级吊顶配L</w:t>
      </w:r>
      <w:r>
        <w:rPr>
          <w:rFonts w:ascii="仿宋_GB2312" w:hAnsi="仿宋" w:eastAsia="仿宋_GB2312"/>
          <w:sz w:val="32"/>
          <w:szCs w:val="32"/>
        </w:rPr>
        <w:t>ED</w:t>
      </w:r>
      <w:r>
        <w:rPr>
          <w:rFonts w:hint="eastAsia" w:ascii="仿宋_GB2312" w:hAnsi="仿宋" w:eastAsia="仿宋_GB2312"/>
          <w:sz w:val="32"/>
          <w:szCs w:val="32"/>
        </w:rPr>
        <w:t>筒灯,Ⅲ类整体做花式吊顶配灯带及L</w:t>
      </w:r>
      <w:r>
        <w:rPr>
          <w:rFonts w:ascii="仿宋_GB2312" w:hAnsi="仿宋" w:eastAsia="仿宋_GB2312"/>
          <w:sz w:val="32"/>
          <w:szCs w:val="32"/>
        </w:rPr>
        <w:t>ED</w:t>
      </w:r>
      <w:r>
        <w:rPr>
          <w:rFonts w:hint="eastAsia" w:ascii="仿宋_GB2312" w:hAnsi="仿宋" w:eastAsia="仿宋_GB2312"/>
          <w:sz w:val="32"/>
          <w:szCs w:val="32"/>
        </w:rPr>
        <w:t>筒灯。墙面应选用白色或浅色无机矿物涂料，结合温和的中性色系实心实木复合门，为使用者购买不同风格的家私提供包容性，满足营造多种风格的需求。</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5.3</w:t>
      </w:r>
      <w:r>
        <w:rPr>
          <w:rFonts w:hint="eastAsia" w:ascii="仿宋_GB2312" w:hAnsi="仿宋" w:eastAsia="仿宋_GB2312"/>
          <w:sz w:val="32"/>
          <w:szCs w:val="32"/>
        </w:rPr>
        <w:t>地面采用地砖，应根据不同装饰标准选择不同档次的地砖。墙面与地面连接处应设贯通踢脚线，踢脚线选用应同地面相同材料的瓷砖,以暗藏方式粘贴。Ⅰ类标准地砖规格采用6</w:t>
      </w:r>
      <w:r>
        <w:rPr>
          <w:rFonts w:ascii="仿宋_GB2312" w:hAnsi="仿宋" w:eastAsia="仿宋_GB2312"/>
          <w:sz w:val="32"/>
          <w:szCs w:val="32"/>
        </w:rPr>
        <w:t>00</w:t>
      </w:r>
      <w:r>
        <w:rPr>
          <w:rFonts w:hint="eastAsia" w:ascii="仿宋_GB2312" w:hAnsi="仿宋" w:eastAsia="仿宋_GB2312"/>
          <w:sz w:val="32"/>
          <w:szCs w:val="32"/>
        </w:rPr>
        <w:t>×</w:t>
      </w:r>
      <w:r>
        <w:rPr>
          <w:rFonts w:ascii="仿宋_GB2312" w:hAnsi="仿宋" w:eastAsia="仿宋_GB2312"/>
          <w:sz w:val="32"/>
          <w:szCs w:val="32"/>
        </w:rPr>
        <w:t>600</w:t>
      </w:r>
      <w:r>
        <w:rPr>
          <w:rFonts w:hint="eastAsia" w:ascii="仿宋_GB2312" w:hAnsi="仿宋" w:eastAsia="仿宋_GB2312"/>
          <w:sz w:val="32"/>
          <w:szCs w:val="32"/>
        </w:rPr>
        <w:t>mm地砖，Ⅱ类、Ⅲ类装修标准采用8</w:t>
      </w:r>
      <w:r>
        <w:rPr>
          <w:rFonts w:ascii="仿宋_GB2312" w:hAnsi="仿宋" w:eastAsia="仿宋_GB2312"/>
          <w:sz w:val="32"/>
          <w:szCs w:val="32"/>
        </w:rPr>
        <w:t>00</w:t>
      </w:r>
      <w:r>
        <w:rPr>
          <w:rFonts w:hint="eastAsia" w:ascii="仿宋_GB2312" w:hAnsi="仿宋" w:eastAsia="仿宋_GB2312"/>
          <w:sz w:val="32"/>
          <w:szCs w:val="32"/>
        </w:rPr>
        <w:t>×</w:t>
      </w:r>
      <w:r>
        <w:rPr>
          <w:rFonts w:ascii="仿宋_GB2312" w:hAnsi="仿宋" w:eastAsia="仿宋_GB2312"/>
          <w:sz w:val="32"/>
          <w:szCs w:val="32"/>
        </w:rPr>
        <w:t>800</w:t>
      </w:r>
      <w:r>
        <w:rPr>
          <w:rFonts w:hint="eastAsia" w:ascii="仿宋_GB2312" w:hAnsi="仿宋" w:eastAsia="仿宋_GB2312"/>
          <w:sz w:val="32"/>
          <w:szCs w:val="32"/>
        </w:rPr>
        <w:t>mm规格地砖。</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bCs/>
          <w:sz w:val="32"/>
          <w:szCs w:val="32"/>
        </w:rPr>
        <w:t>1</w:t>
      </w:r>
      <w:r>
        <w:rPr>
          <w:rFonts w:hint="eastAsia" w:ascii="仿宋_GB2312" w:hAnsi="仿宋" w:eastAsia="仿宋_GB2312"/>
          <w:bCs/>
          <w:sz w:val="32"/>
          <w:szCs w:val="32"/>
        </w:rPr>
        <w:t>.</w:t>
      </w:r>
      <w:r>
        <w:rPr>
          <w:rFonts w:hint="eastAsia" w:ascii="仿宋_GB2312" w:hAnsi="仿宋" w:eastAsia="仿宋_GB2312"/>
          <w:sz w:val="32"/>
          <w:szCs w:val="32"/>
        </w:rPr>
        <w:t>地板砖的铺贴没有松动迹象，牢固稳定。面层与下一层的结合（粘合）应牢固。地砖空鼓现象控制在3%以内，主要通道上的空鼓必须返工，3%单指单块边角空鼓，整块不得空鼓。</w:t>
      </w:r>
    </w:p>
    <w:p>
      <w:pPr>
        <w:spacing w:before="156" w:line="600" w:lineRule="exact"/>
        <w:ind w:left="0" w:firstLine="640" w:firstLineChars="200"/>
        <w:rPr>
          <w:rFonts w:ascii="仿宋_GB2312" w:hAnsi="仿宋" w:eastAsia="仿宋_GB2312"/>
          <w:sz w:val="32"/>
          <w:szCs w:val="32"/>
        </w:rPr>
      </w:pPr>
      <w:r>
        <w:rPr>
          <w:rFonts w:ascii="仿宋_GB2312" w:hAnsi="仿宋" w:eastAsia="仿宋_GB2312"/>
          <w:bCs/>
          <w:sz w:val="32"/>
          <w:szCs w:val="32"/>
        </w:rPr>
        <w:t>2</w:t>
      </w:r>
      <w:r>
        <w:rPr>
          <w:rFonts w:hint="eastAsia" w:ascii="仿宋_GB2312" w:hAnsi="仿宋" w:eastAsia="仿宋_GB2312"/>
          <w:bCs/>
          <w:sz w:val="32"/>
          <w:szCs w:val="32"/>
        </w:rPr>
        <w:t>.</w:t>
      </w:r>
      <w:r>
        <w:rPr>
          <w:rFonts w:hint="eastAsia" w:ascii="仿宋_GB2312" w:hAnsi="仿宋" w:eastAsia="仿宋_GB2312"/>
          <w:sz w:val="32"/>
          <w:szCs w:val="32"/>
        </w:rPr>
        <w:t>地板砖的砖面应该光滑，没有裂纹、缺角等，彼此之间非常顺直。地砖平整度用2m水平尺检查，误差不得超过0.5mm，相邻砖高差不得超过0.5mm，缝隙平直度3mm，地砖铺设时，其它工种不得污染。地砖完工后24小时清缝，并做养护。</w:t>
      </w:r>
      <w:r>
        <w:rPr>
          <w:rFonts w:eastAsia="仿宋_GB2312" w:cs="Calibri"/>
          <w:sz w:val="32"/>
          <w:szCs w:val="32"/>
        </w:rPr>
        <w:t> </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5.4</w:t>
      </w:r>
      <w:r>
        <w:rPr>
          <w:rFonts w:hint="eastAsia" w:ascii="仿宋_GB2312" w:hAnsi="仿宋" w:eastAsia="仿宋_GB2312"/>
          <w:sz w:val="32"/>
          <w:szCs w:val="32"/>
        </w:rPr>
        <w:t>窗户应配置铝合金窗帘杆。</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5.5</w:t>
      </w:r>
      <w:r>
        <w:rPr>
          <w:rFonts w:hint="eastAsia" w:ascii="仿宋_GB2312" w:hAnsi="仿宋" w:eastAsia="仿宋_GB2312"/>
          <w:sz w:val="32"/>
          <w:szCs w:val="32"/>
        </w:rPr>
        <w:t>天花的灯具应以LED节能吸顶式为首选。</w:t>
      </w:r>
    </w:p>
    <w:p>
      <w:pPr>
        <w:spacing w:before="156" w:line="360" w:lineRule="auto"/>
        <w:jc w:val="center"/>
        <w:rPr>
          <w:rFonts w:ascii="仿宋_GB2312" w:eastAsia="仿宋_GB2312"/>
          <w:b/>
          <w:bCs/>
          <w:sz w:val="36"/>
          <w:szCs w:val="36"/>
        </w:rPr>
      </w:pPr>
    </w:p>
    <w:p>
      <w:pPr>
        <w:spacing w:before="156" w:line="360" w:lineRule="auto"/>
        <w:jc w:val="center"/>
        <w:rPr>
          <w:b/>
          <w:bCs/>
          <w:sz w:val="10"/>
          <w:szCs w:val="10"/>
        </w:rPr>
      </w:pPr>
      <w:r>
        <w:rPr>
          <w:rFonts w:hint="eastAsia" w:ascii="仿宋_GB2312" w:eastAsia="仿宋_GB2312"/>
          <w:b/>
          <w:bCs/>
          <w:sz w:val="36"/>
          <w:szCs w:val="36"/>
        </w:rPr>
        <w:t>6主卧和卧室</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6.1</w:t>
      </w:r>
      <w:r>
        <w:rPr>
          <w:rFonts w:hint="eastAsia" w:ascii="仿宋_GB2312" w:hAnsi="仿宋" w:eastAsia="仿宋_GB2312"/>
          <w:sz w:val="32"/>
          <w:szCs w:val="32"/>
        </w:rPr>
        <w:t>应充分利用窗户位置，达到房间采光需求。合理分布睡眠、书写、收纳功能的家私，以满足房间的多种功能。</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6.2</w:t>
      </w:r>
      <w:r>
        <w:rPr>
          <w:rFonts w:hint="eastAsia" w:ascii="仿宋_GB2312" w:hAnsi="仿宋" w:eastAsia="仿宋_GB2312"/>
          <w:b/>
          <w:bCs/>
          <w:sz w:val="32"/>
          <w:szCs w:val="32"/>
        </w:rPr>
        <w:t xml:space="preserve"> </w:t>
      </w:r>
      <w:r>
        <w:rPr>
          <w:rFonts w:hint="eastAsia" w:ascii="仿宋_GB2312" w:hAnsi="仿宋" w:eastAsia="仿宋_GB2312"/>
          <w:sz w:val="32"/>
          <w:szCs w:val="32"/>
        </w:rPr>
        <w:t>Ⅰ类装修标准天花不设吊顶，Ⅱ类、Ⅲ类装修标准根据设计要求及设计图纸另行考虑局部吊顶或整体吊顶，面层白色或浅色无机矿物涂料。墙面选用浅色无机矿物涂料结合中性色系的实心实木复合门。</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6.3</w:t>
      </w:r>
      <w:r>
        <w:rPr>
          <w:rFonts w:hint="eastAsia" w:ascii="仿宋_GB2312" w:hAnsi="仿宋" w:eastAsia="仿宋_GB2312"/>
          <w:sz w:val="32"/>
          <w:szCs w:val="32"/>
        </w:rPr>
        <w:t>地面应根据不同装饰标准，Ⅰ类装修标准卧室采用地砖，Ⅱ类、Ⅲ类分别选用不同档次的强化木地板、实木复合地板或竹地板。墙面与地面连接处应设贯通踢脚线，踢脚线应选用同地面相同的材料。地板铺装方法如下：</w:t>
      </w:r>
    </w:p>
    <w:p>
      <w:pPr>
        <w:spacing w:before="156" w:line="600" w:lineRule="exact"/>
        <w:ind w:left="0" w:firstLine="640" w:firstLineChars="200"/>
        <w:rPr>
          <w:rFonts w:ascii="仿宋_GB2312" w:hAnsi="仿宋" w:eastAsia="仿宋_GB2312"/>
          <w:sz w:val="32"/>
          <w:szCs w:val="32"/>
        </w:rPr>
      </w:pPr>
      <w:r>
        <w:rPr>
          <w:rFonts w:hint="eastAsia" w:ascii="仿宋_GB2312" w:hAnsi="仿宋" w:eastAsia="仿宋_GB2312"/>
          <w:sz w:val="32"/>
          <w:szCs w:val="32"/>
        </w:rPr>
        <w:t>1.基层清理。</w:t>
      </w:r>
    </w:p>
    <w:p>
      <w:pPr>
        <w:spacing w:before="156" w:line="600" w:lineRule="exact"/>
        <w:ind w:left="0" w:firstLine="640" w:firstLineChars="200"/>
        <w:rPr>
          <w:rFonts w:ascii="仿宋_GB2312" w:hAnsi="仿宋" w:eastAsia="仿宋_GB2312"/>
          <w:sz w:val="32"/>
          <w:szCs w:val="32"/>
        </w:rPr>
      </w:pPr>
      <w:r>
        <w:rPr>
          <w:rFonts w:hint="eastAsia" w:ascii="仿宋_GB2312" w:hAnsi="仿宋" w:eastAsia="仿宋_GB2312"/>
          <w:sz w:val="32"/>
          <w:szCs w:val="32"/>
        </w:rPr>
        <w:t>2.铺设塑料薄膜地垫，垫层铺高材料可使用厚度3mm的带塑膜的泡沫垫或厚度10-12mm的铺垫宝，对接铺设，接口塑封。也可使用厚度9-18mm的优质多层胶合板，固定在地面，四周必须钉牢固，板与板之间要留3-6mm缝隙，用胶带封口。</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6.4</w:t>
      </w:r>
      <w:r>
        <w:rPr>
          <w:rFonts w:hint="eastAsia" w:ascii="仿宋_GB2312" w:hAnsi="仿宋" w:eastAsia="仿宋_GB2312"/>
          <w:sz w:val="32"/>
          <w:szCs w:val="32"/>
        </w:rPr>
        <w:t>窗户应配置铝合金窗帘杆。Ⅰ类、Ⅱ类装修采用普通纳米分子成品窗帘杆件，Ⅲ类装修采用高档自动纳米窗帘杆件。</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6.5</w:t>
      </w:r>
      <w:r>
        <w:rPr>
          <w:rFonts w:hint="eastAsia" w:ascii="仿宋_GB2312" w:hAnsi="仿宋" w:eastAsia="仿宋_GB2312"/>
          <w:sz w:val="32"/>
          <w:szCs w:val="32"/>
        </w:rPr>
        <w:t>卧室照明设计应以柔和、温馨、舒适为主，天花的灯具应以LED节能吸顶式为首选。</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6.6</w:t>
      </w:r>
      <w:r>
        <w:rPr>
          <w:rFonts w:hint="eastAsia" w:ascii="仿宋_GB2312" w:hAnsi="仿宋" w:eastAsia="仿宋_GB2312"/>
          <w:sz w:val="32"/>
          <w:szCs w:val="32"/>
        </w:rPr>
        <w:t>卧室的飘窗窗台饰面材料Ⅰ类装修采用抛光砖，Ⅱ类、Ⅲ类装修采用花岗岩石材。</w:t>
      </w:r>
    </w:p>
    <w:p>
      <w:pPr>
        <w:spacing w:before="156" w:line="600" w:lineRule="exact"/>
        <w:ind w:left="0"/>
        <w:rPr>
          <w:rFonts w:ascii="仿宋_GB2312" w:hAnsi="仿宋" w:eastAsia="仿宋_GB2312"/>
          <w:sz w:val="32"/>
          <w:szCs w:val="32"/>
        </w:rPr>
      </w:pPr>
    </w:p>
    <w:p>
      <w:pPr>
        <w:spacing w:before="156" w:line="360" w:lineRule="auto"/>
        <w:jc w:val="center"/>
        <w:rPr>
          <w:b/>
          <w:bCs/>
          <w:sz w:val="10"/>
          <w:szCs w:val="10"/>
        </w:rPr>
      </w:pPr>
      <w:r>
        <w:rPr>
          <w:rFonts w:hint="eastAsia" w:ascii="仿宋_GB2312" w:eastAsia="仿宋_GB2312"/>
          <w:b/>
          <w:bCs/>
          <w:sz w:val="36"/>
          <w:szCs w:val="36"/>
        </w:rPr>
        <w:t>7卫生间</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7.1</w:t>
      </w:r>
      <w:r>
        <w:rPr>
          <w:rFonts w:hint="eastAsia" w:ascii="仿宋_GB2312" w:hAnsi="仿宋" w:eastAsia="仿宋_GB2312"/>
          <w:sz w:val="32"/>
          <w:szCs w:val="32"/>
        </w:rPr>
        <w:t>根据不同套型平面进行合理的布置，设计时不应影响建筑设计的采光、通风效果。</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7.2</w:t>
      </w:r>
      <w:r>
        <w:rPr>
          <w:rFonts w:hint="eastAsia" w:ascii="仿宋_GB2312" w:hAnsi="仿宋" w:eastAsia="仿宋_GB2312"/>
          <w:sz w:val="32"/>
          <w:szCs w:val="32"/>
        </w:rPr>
        <w:t>平面布局设计时应为老人、残疾人和儿童预留一定的空间，考虑有安装相应设施的可能性。</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7.3</w:t>
      </w:r>
      <w:r>
        <w:rPr>
          <w:rFonts w:hint="eastAsia" w:ascii="仿宋_GB2312" w:hAnsi="仿宋" w:eastAsia="仿宋_GB2312"/>
          <w:sz w:val="32"/>
          <w:szCs w:val="32"/>
        </w:rPr>
        <w:t>设计时除满足基本功能外，需配备基本洁具：淋浴花洒、排气扇、洗面盆和马桶。</w:t>
      </w:r>
    </w:p>
    <w:p>
      <w:pPr>
        <w:numPr>
          <w:ilvl w:val="0"/>
          <w:numId w:val="4"/>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Ⅰ类装饰标准应配普通花洒、洗脸盆、排气扇，马桶应采用普通节水型；</w:t>
      </w:r>
    </w:p>
    <w:p>
      <w:pPr>
        <w:numPr>
          <w:ilvl w:val="0"/>
          <w:numId w:val="4"/>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Ⅱ类装饰标准应设置可挂浴帘的杆件，应配花洒、排气扇，洗脸盆应为人造石台面，马桶应采用中档节水型。</w:t>
      </w:r>
    </w:p>
    <w:p>
      <w:pPr>
        <w:numPr>
          <w:ilvl w:val="0"/>
          <w:numId w:val="4"/>
        </w:numPr>
        <w:spacing w:before="156" w:line="600" w:lineRule="exact"/>
        <w:ind w:left="1265"/>
        <w:rPr>
          <w:rFonts w:ascii="仿宋_GB2312" w:hAnsi="仿宋" w:eastAsia="仿宋_GB2312"/>
          <w:sz w:val="32"/>
          <w:szCs w:val="32"/>
        </w:rPr>
      </w:pPr>
      <w:r>
        <w:rPr>
          <w:rFonts w:hint="eastAsia" w:ascii="仿宋_GB2312" w:hAnsi="仿宋" w:eastAsia="仿宋_GB2312"/>
          <w:sz w:val="32"/>
          <w:szCs w:val="32"/>
        </w:rPr>
        <w:t>Ⅲ类装饰标准除设置成品淋浴间，里面配花洒、升降杆、排气扇，洗脸盆应为人造石台面。马桶应采用高档节水型。</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7.4</w:t>
      </w:r>
      <w:r>
        <w:rPr>
          <w:rFonts w:hint="eastAsia" w:ascii="仿宋_GB2312" w:hAnsi="仿宋" w:eastAsia="仿宋_GB2312"/>
          <w:sz w:val="32"/>
          <w:szCs w:val="32"/>
        </w:rPr>
        <w:t>淋浴龙头应安装在出水口的同一边，冷水在右，热水在左。龙头应安装端正，淋浴器挂钩应距地面</w:t>
      </w:r>
      <w:r>
        <w:rPr>
          <w:rFonts w:ascii="仿宋_GB2312" w:hAnsi="仿宋" w:eastAsia="仿宋_GB2312"/>
          <w:sz w:val="32"/>
          <w:szCs w:val="32"/>
        </w:rPr>
        <w:t>1800mm</w:t>
      </w:r>
      <w:r>
        <w:rPr>
          <w:rFonts w:hint="eastAsia" w:ascii="仿宋_GB2312" w:hAnsi="仿宋" w:eastAsia="仿宋_GB2312"/>
          <w:sz w:val="32"/>
          <w:szCs w:val="32"/>
        </w:rPr>
        <w:t>。</w:t>
      </w:r>
    </w:p>
    <w:p>
      <w:pPr>
        <w:spacing w:before="156" w:line="600" w:lineRule="exact"/>
        <w:ind w:left="0"/>
        <w:rPr>
          <w:rFonts w:ascii="仿宋_GB2312" w:hAnsi="仿宋" w:eastAsia="仿宋_GB2312"/>
          <w:sz w:val="32"/>
          <w:szCs w:val="32"/>
        </w:rPr>
      </w:pPr>
      <w:r>
        <w:rPr>
          <w:rFonts w:hint="eastAsia" w:ascii="仿宋_GB2312" w:hAnsi="仿宋" w:eastAsia="仿宋_GB2312"/>
          <w:b/>
          <w:sz w:val="32"/>
          <w:szCs w:val="32"/>
        </w:rPr>
        <w:t>7</w:t>
      </w:r>
      <w:r>
        <w:rPr>
          <w:rFonts w:ascii="仿宋_GB2312" w:hAnsi="仿宋" w:eastAsia="仿宋_GB2312"/>
          <w:b/>
          <w:sz w:val="32"/>
          <w:szCs w:val="32"/>
        </w:rPr>
        <w:t>.5</w:t>
      </w:r>
      <w:r>
        <w:rPr>
          <w:rFonts w:hint="eastAsia" w:ascii="仿宋_GB2312" w:hAnsi="仿宋" w:eastAsia="仿宋_GB2312"/>
          <w:sz w:val="32"/>
          <w:szCs w:val="32"/>
        </w:rPr>
        <w:t>应安装普通不锈钢毛巾杆，安装高度应距地面</w:t>
      </w:r>
      <w:r>
        <w:rPr>
          <w:rFonts w:ascii="仿宋_GB2312" w:hAnsi="仿宋" w:eastAsia="仿宋_GB2312"/>
          <w:sz w:val="32"/>
          <w:szCs w:val="32"/>
        </w:rPr>
        <w:t>1200-1600mm</w:t>
      </w:r>
      <w:r>
        <w:rPr>
          <w:rFonts w:hint="eastAsia" w:ascii="仿宋_GB2312" w:hAnsi="仿宋" w:eastAsia="仿宋_GB2312"/>
          <w:sz w:val="32"/>
          <w:szCs w:val="32"/>
        </w:rPr>
        <w:t>。</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w:t>
      </w:r>
      <w:r>
        <w:rPr>
          <w:rFonts w:hint="eastAsia" w:ascii="仿宋_GB2312" w:hAnsi="仿宋" w:eastAsia="仿宋_GB2312"/>
          <w:b/>
          <w:bCs/>
          <w:sz w:val="32"/>
          <w:szCs w:val="32"/>
        </w:rPr>
        <w:t xml:space="preserve">6 </w:t>
      </w:r>
      <w:r>
        <w:rPr>
          <w:rFonts w:hint="eastAsia" w:ascii="仿宋_GB2312" w:hAnsi="仿宋" w:eastAsia="仿宋_GB2312"/>
          <w:sz w:val="32"/>
          <w:szCs w:val="32"/>
        </w:rPr>
        <w:t>Ⅰ类装饰标准只安装不小于</w:t>
      </w:r>
      <w:r>
        <w:rPr>
          <w:rFonts w:ascii="仿宋_GB2312" w:hAnsi="仿宋" w:eastAsia="仿宋_GB2312"/>
          <w:sz w:val="32"/>
          <w:szCs w:val="32"/>
        </w:rPr>
        <w:t>0.3</w:t>
      </w:r>
      <w:r>
        <w:rPr>
          <w:rFonts w:hint="eastAsia" w:ascii="宋体" w:hAnsi="宋体" w:cs="宋体"/>
          <w:sz w:val="32"/>
          <w:szCs w:val="32"/>
        </w:rPr>
        <w:t>㎡</w:t>
      </w:r>
      <w:r>
        <w:rPr>
          <w:rFonts w:hint="eastAsia" w:ascii="仿宋_GB2312" w:hAnsi="仿宋" w:eastAsia="仿宋_GB2312"/>
          <w:sz w:val="32"/>
          <w:szCs w:val="32"/>
        </w:rPr>
        <w:t>的成品镜。Ⅱ类装饰标准和Ⅲ类装饰标准的洗脸盆上方安装面积不小于</w:t>
      </w:r>
      <w:r>
        <w:rPr>
          <w:rFonts w:ascii="仿宋_GB2312" w:hAnsi="仿宋" w:eastAsia="仿宋_GB2312"/>
          <w:sz w:val="32"/>
          <w:szCs w:val="32"/>
        </w:rPr>
        <w:t>0.5</w:t>
      </w:r>
      <w:r>
        <w:rPr>
          <w:rFonts w:hint="eastAsia" w:ascii="宋体" w:hAnsi="宋体" w:cs="宋体"/>
          <w:sz w:val="32"/>
          <w:szCs w:val="32"/>
        </w:rPr>
        <w:t>㎡</w:t>
      </w:r>
      <w:r>
        <w:rPr>
          <w:rFonts w:hint="eastAsia" w:ascii="仿宋_GB2312" w:hAnsi="仿宋" w:eastAsia="仿宋_GB2312"/>
          <w:sz w:val="32"/>
          <w:szCs w:val="32"/>
        </w:rPr>
        <w:t>的成品化妆镜柜，旁边的墙面上应安装一组防溅电源插座。</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w:t>
      </w:r>
      <w:r>
        <w:rPr>
          <w:rFonts w:hint="eastAsia" w:ascii="仿宋_GB2312" w:hAnsi="仿宋" w:eastAsia="仿宋_GB2312"/>
          <w:b/>
          <w:bCs/>
          <w:sz w:val="32"/>
          <w:szCs w:val="32"/>
        </w:rPr>
        <w:t>7</w:t>
      </w:r>
      <w:r>
        <w:rPr>
          <w:rFonts w:hint="eastAsia" w:ascii="仿宋_GB2312" w:hAnsi="仿宋" w:eastAsia="仿宋_GB2312"/>
          <w:sz w:val="32"/>
          <w:szCs w:val="32"/>
        </w:rPr>
        <w:t>天花应根据不同装饰标准，选用不同的装饰材料。天花应采用铝扣板集成天花吊顶，卫生间灯具应选用同系列LED类型防水防尘型集成吊顶通用灯具。</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w:t>
      </w:r>
      <w:r>
        <w:rPr>
          <w:rFonts w:hint="eastAsia" w:ascii="仿宋_GB2312" w:hAnsi="仿宋" w:eastAsia="仿宋_GB2312"/>
          <w:b/>
          <w:bCs/>
          <w:sz w:val="32"/>
          <w:szCs w:val="32"/>
        </w:rPr>
        <w:t>8</w:t>
      </w:r>
      <w:r>
        <w:rPr>
          <w:rFonts w:hint="eastAsia" w:ascii="仿宋_GB2312" w:hAnsi="仿宋" w:eastAsia="仿宋_GB2312"/>
          <w:sz w:val="32"/>
          <w:szCs w:val="32"/>
        </w:rPr>
        <w:t>墙面根据装修标准不同，应分别选用不同档次的墙砖。装修标准墙砖贴至顶板。卫生间墙面防水做法详见本标准防水工程要求。</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w:t>
      </w:r>
      <w:r>
        <w:rPr>
          <w:rFonts w:hint="eastAsia" w:ascii="仿宋_GB2312" w:hAnsi="仿宋" w:eastAsia="仿宋_GB2312"/>
          <w:b/>
          <w:bCs/>
          <w:sz w:val="32"/>
          <w:szCs w:val="32"/>
        </w:rPr>
        <w:t>9</w:t>
      </w:r>
      <w:r>
        <w:rPr>
          <w:rFonts w:hint="eastAsia" w:ascii="仿宋_GB2312" w:hAnsi="仿宋" w:eastAsia="仿宋_GB2312"/>
          <w:sz w:val="32"/>
          <w:szCs w:val="32"/>
        </w:rPr>
        <w:t>地漏不应采用钟罩式地漏，应采用防反溢地漏或多通道地漏。地漏下设存水弯，水封高度不宜小于50mm。</w:t>
      </w:r>
    </w:p>
    <w:p>
      <w:pPr>
        <w:spacing w:before="156" w:line="600" w:lineRule="exact"/>
        <w:ind w:left="0"/>
        <w:rPr>
          <w:rFonts w:ascii="仿宋_GB2312" w:hAnsi="仿宋" w:eastAsia="仿宋_GB2312"/>
          <w:sz w:val="32"/>
          <w:szCs w:val="32"/>
        </w:rPr>
      </w:pPr>
      <w:r>
        <w:rPr>
          <w:rFonts w:hint="eastAsia" w:ascii="仿宋_GB2312" w:hAnsi="仿宋" w:eastAsia="仿宋_GB2312"/>
          <w:b/>
          <w:bCs/>
          <w:sz w:val="32"/>
          <w:szCs w:val="32"/>
        </w:rPr>
        <w:t>7.10</w:t>
      </w:r>
      <w:r>
        <w:rPr>
          <w:rFonts w:hint="eastAsia" w:ascii="仿宋_GB2312" w:hAnsi="仿宋" w:eastAsia="仿宋_GB2312"/>
          <w:sz w:val="32"/>
          <w:szCs w:val="32"/>
        </w:rPr>
        <w:t>设有淋浴空间周围墙面的防水高度应至楼板底部。地面砖宜采用湿贴法，不得采用干浆法铺贴。防水材料主要选择聚氨酯防水涂料。在防水工程做完后，就可以开始进行闭水试验，检查防水效果，将门口及下水口封好，然后在室内蓄水达到一定液面高度，经过2</w:t>
      </w:r>
      <w:r>
        <w:rPr>
          <w:rFonts w:ascii="仿宋_GB2312" w:hAnsi="仿宋" w:eastAsia="仿宋_GB2312"/>
          <w:sz w:val="32"/>
          <w:szCs w:val="32"/>
        </w:rPr>
        <w:t>4</w:t>
      </w:r>
      <w:r>
        <w:rPr>
          <w:rFonts w:hint="eastAsia" w:ascii="仿宋_GB2312" w:hAnsi="仿宋" w:eastAsia="仿宋_GB2312"/>
          <w:sz w:val="32"/>
          <w:szCs w:val="32"/>
        </w:rPr>
        <w:t>小时后，如果液面没有明显下降，即为合格。</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7.1</w:t>
      </w:r>
      <w:r>
        <w:rPr>
          <w:rFonts w:hint="eastAsia" w:ascii="仿宋_GB2312" w:hAnsi="仿宋" w:eastAsia="仿宋_GB2312"/>
          <w:b/>
          <w:bCs/>
          <w:sz w:val="32"/>
          <w:szCs w:val="32"/>
        </w:rPr>
        <w:t>1</w:t>
      </w:r>
      <w:r>
        <w:rPr>
          <w:rFonts w:hint="eastAsia" w:ascii="仿宋_GB2312" w:hAnsi="仿宋" w:eastAsia="仿宋_GB2312"/>
          <w:sz w:val="32"/>
          <w:szCs w:val="32"/>
        </w:rPr>
        <w:t>洗手盆、淋浴地漏及卫生间地漏合用存水弯。</w:t>
      </w:r>
    </w:p>
    <w:p>
      <w:pPr>
        <w:spacing w:before="156" w:line="600" w:lineRule="exact"/>
        <w:ind w:left="0"/>
        <w:rPr>
          <w:rFonts w:ascii="仿宋_GB2312" w:hAnsi="仿宋" w:eastAsia="仿宋_GB2312"/>
          <w:sz w:val="32"/>
          <w:szCs w:val="32"/>
        </w:rPr>
      </w:pPr>
    </w:p>
    <w:p>
      <w:pPr>
        <w:spacing w:before="156" w:line="360" w:lineRule="auto"/>
        <w:jc w:val="center"/>
        <w:rPr>
          <w:b/>
          <w:bCs/>
          <w:sz w:val="10"/>
          <w:szCs w:val="10"/>
        </w:rPr>
      </w:pPr>
      <w:r>
        <w:rPr>
          <w:rFonts w:hint="eastAsia" w:ascii="仿宋_GB2312" w:eastAsia="仿宋_GB2312"/>
          <w:b/>
          <w:bCs/>
          <w:sz w:val="36"/>
          <w:szCs w:val="36"/>
        </w:rPr>
        <w:t>8厨房</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8.1</w:t>
      </w:r>
      <w:r>
        <w:rPr>
          <w:rFonts w:hint="eastAsia" w:ascii="仿宋_GB2312" w:hAnsi="仿宋" w:eastAsia="仿宋_GB2312"/>
          <w:sz w:val="32"/>
          <w:szCs w:val="32"/>
        </w:rPr>
        <w:t>功能设计应设置洗菜盆、操作台，应合理考虑布置灶具、抽油烟机、热水器、电冰箱、微波炉、电饭煲等必要的厨房家用电器的位置。</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8.2</w:t>
      </w:r>
      <w:r>
        <w:rPr>
          <w:rFonts w:hint="eastAsia" w:ascii="仿宋_GB2312" w:hAnsi="仿宋" w:eastAsia="仿宋_GB2312"/>
          <w:sz w:val="32"/>
          <w:szCs w:val="32"/>
        </w:rPr>
        <w:t>洗菜盆、操作台、燃气灶应合理布局。结合吊柜、地柜，组成储、洗、切、烧的操作流线，由于装饰标准不同，厨房的配置也应不同，依据如下：</w:t>
      </w:r>
    </w:p>
    <w:p>
      <w:pPr>
        <w:spacing w:before="156" w:line="600" w:lineRule="exact"/>
        <w:ind w:left="0" w:firstLine="640" w:firstLineChars="200"/>
        <w:rPr>
          <w:rFonts w:ascii="仿宋_GB2312" w:hAnsi="仿宋" w:eastAsia="仿宋_GB2312"/>
          <w:sz w:val="32"/>
          <w:szCs w:val="32"/>
        </w:rPr>
      </w:pPr>
      <w:r>
        <w:rPr>
          <w:rFonts w:hint="eastAsia" w:ascii="仿宋_GB2312" w:hAnsi="仿宋" w:eastAsia="仿宋_GB2312"/>
          <w:sz w:val="32"/>
          <w:szCs w:val="32"/>
        </w:rPr>
        <w:t>Ⅰ类：装饰标准台面应采用大理石或人造石面板，外边缘大理石收口。洗菜盆应为不锈钢双盆，不锈钢水龙头应为普通型，成品吊柜、地柜应为中档型且带金属边框。</w:t>
      </w:r>
    </w:p>
    <w:p>
      <w:pPr>
        <w:spacing w:before="156" w:line="600" w:lineRule="exact"/>
        <w:ind w:left="0" w:firstLine="640" w:firstLineChars="200"/>
        <w:rPr>
          <w:rFonts w:ascii="仿宋_GB2312" w:hAnsi="仿宋" w:eastAsia="仿宋_GB2312"/>
          <w:sz w:val="32"/>
          <w:szCs w:val="32"/>
        </w:rPr>
      </w:pPr>
      <w:r>
        <w:rPr>
          <w:rFonts w:hint="eastAsia" w:ascii="仿宋_GB2312" w:hAnsi="仿宋" w:eastAsia="仿宋_GB2312"/>
          <w:sz w:val="32"/>
          <w:szCs w:val="32"/>
        </w:rPr>
        <w:t>Ⅱ类：装饰标准应采用叠级式档次适中美观耐磨、易清洁的浅色系列大理石或人造石台面，普通型燃气灶，洗菜盆应为不锈钢双盆，不锈钢水龙头应为中档型，地柜应为中档型且带金属边框，上空有搭配的同款吊柜，吊柜安装高度在2</w:t>
      </w:r>
      <w:r>
        <w:rPr>
          <w:rFonts w:ascii="仿宋_GB2312" w:hAnsi="仿宋" w:eastAsia="仿宋_GB2312"/>
          <w:sz w:val="32"/>
          <w:szCs w:val="32"/>
        </w:rPr>
        <w:t>.2</w:t>
      </w:r>
      <w:r>
        <w:rPr>
          <w:rFonts w:hint="eastAsia" w:ascii="仿宋_GB2312" w:hAnsi="仿宋" w:eastAsia="仿宋_GB2312"/>
          <w:sz w:val="32"/>
          <w:szCs w:val="32"/>
        </w:rPr>
        <w:t>m。</w:t>
      </w:r>
    </w:p>
    <w:p>
      <w:pPr>
        <w:spacing w:before="156" w:line="600" w:lineRule="exact"/>
        <w:ind w:left="0" w:firstLine="640" w:firstLineChars="200"/>
        <w:rPr>
          <w:rFonts w:ascii="仿宋_GB2312" w:hAnsi="仿宋" w:eastAsia="仿宋_GB2312"/>
          <w:sz w:val="32"/>
          <w:szCs w:val="32"/>
        </w:rPr>
      </w:pPr>
      <w:r>
        <w:rPr>
          <w:rFonts w:hint="eastAsia" w:ascii="仿宋_GB2312" w:hAnsi="仿宋" w:eastAsia="仿宋_GB2312"/>
          <w:sz w:val="32"/>
          <w:szCs w:val="32"/>
        </w:rPr>
        <w:t>Ⅲ类：装饰标准的灶台应采用档次较高、美观耐磨、易清洁的浅色系列大理石或人造石台面，嵌入式的燃气灶，洗菜盆应为不锈钢双盆，不锈钢水龙头应为高档型，成品吊柜、地柜应为高档型且带金属边框。</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8.3</w:t>
      </w:r>
      <w:r>
        <w:rPr>
          <w:rFonts w:hint="eastAsia" w:ascii="仿宋_GB2312" w:hAnsi="仿宋" w:eastAsia="仿宋_GB2312"/>
          <w:sz w:val="32"/>
          <w:szCs w:val="32"/>
        </w:rPr>
        <w:t>天花装修设计应根据不同装饰标准，选用不同的材料。装饰标准的天花应采用铝扣板集成吊顶天花，灯具应选用LED类型防水防尘型配套通用型集成天花灯具。</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8.4</w:t>
      </w:r>
      <w:r>
        <w:rPr>
          <w:rFonts w:hint="eastAsia" w:ascii="仿宋_GB2312" w:hAnsi="仿宋" w:eastAsia="仿宋_GB2312"/>
          <w:sz w:val="32"/>
          <w:szCs w:val="32"/>
        </w:rPr>
        <w:t>墙面和地面根据不同装饰标准，应分别选用不同档次的墙砖和防滑地砖，墙面贴至顶板。</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8.5</w:t>
      </w:r>
      <w:r>
        <w:rPr>
          <w:rFonts w:hint="eastAsia" w:ascii="仿宋_GB2312" w:hAnsi="仿宋" w:eastAsia="仿宋_GB2312"/>
          <w:sz w:val="32"/>
          <w:szCs w:val="32"/>
        </w:rPr>
        <w:t>地面及墙面防水的应覆盖该区域全空间，在门口处水平向外延伸不小于</w:t>
      </w:r>
      <w:r>
        <w:rPr>
          <w:rFonts w:ascii="仿宋_GB2312" w:hAnsi="仿宋" w:eastAsia="仿宋_GB2312"/>
          <w:sz w:val="32"/>
          <w:szCs w:val="32"/>
        </w:rPr>
        <w:t>500mm</w:t>
      </w:r>
      <w:r>
        <w:rPr>
          <w:rFonts w:hint="eastAsia" w:ascii="仿宋_GB2312" w:hAnsi="仿宋" w:eastAsia="仿宋_GB2312"/>
          <w:sz w:val="32"/>
          <w:szCs w:val="32"/>
        </w:rPr>
        <w:t>，向门洞两侧延伸不小于</w:t>
      </w:r>
      <w:r>
        <w:rPr>
          <w:rFonts w:ascii="仿宋_GB2312" w:hAnsi="仿宋" w:eastAsia="仿宋_GB2312"/>
          <w:sz w:val="32"/>
          <w:szCs w:val="32"/>
        </w:rPr>
        <w:t>200mm</w:t>
      </w:r>
      <w:r>
        <w:rPr>
          <w:rFonts w:hint="eastAsia" w:ascii="仿宋_GB2312" w:hAnsi="仿宋" w:eastAsia="仿宋_GB2312"/>
          <w:sz w:val="32"/>
          <w:szCs w:val="32"/>
        </w:rPr>
        <w:t>。地面砖宜采用湿贴法，不得采用干浆法铺贴。厨房同样做防水，防水做法参照卫生间防水做法。</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8.6</w:t>
      </w:r>
      <w:r>
        <w:rPr>
          <w:rFonts w:hint="eastAsia" w:ascii="仿宋_GB2312" w:hAnsi="仿宋" w:eastAsia="仿宋_GB2312"/>
          <w:sz w:val="32"/>
          <w:szCs w:val="32"/>
        </w:rPr>
        <w:t>装修设计和施工中应严禁擅自移动燃气立管及燃气表具。</w:t>
      </w:r>
    </w:p>
    <w:p>
      <w:pPr>
        <w:spacing w:before="156" w:line="360" w:lineRule="auto"/>
        <w:jc w:val="center"/>
        <w:rPr>
          <w:rFonts w:ascii="仿宋_GB2312" w:eastAsia="仿宋_GB2312"/>
          <w:b/>
          <w:bCs/>
          <w:sz w:val="36"/>
          <w:szCs w:val="36"/>
        </w:rPr>
      </w:pPr>
    </w:p>
    <w:p>
      <w:pPr>
        <w:spacing w:before="156" w:line="360" w:lineRule="auto"/>
        <w:jc w:val="center"/>
        <w:rPr>
          <w:b/>
          <w:bCs/>
          <w:sz w:val="10"/>
          <w:szCs w:val="10"/>
        </w:rPr>
      </w:pPr>
      <w:r>
        <w:rPr>
          <w:rFonts w:hint="eastAsia" w:ascii="仿宋_GB2312" w:eastAsia="仿宋_GB2312"/>
          <w:b/>
          <w:bCs/>
          <w:sz w:val="36"/>
          <w:szCs w:val="36"/>
        </w:rPr>
        <w:t>9走道</w:t>
      </w:r>
    </w:p>
    <w:p>
      <w:pPr>
        <w:spacing w:before="156" w:line="600" w:lineRule="exact"/>
        <w:ind w:left="317" w:leftChars="151" w:firstLine="627" w:firstLineChars="196"/>
        <w:rPr>
          <w:rFonts w:ascii="仿宋_GB2312" w:hAnsi="仿宋" w:eastAsia="仿宋_GB2312"/>
          <w:sz w:val="32"/>
          <w:szCs w:val="32"/>
        </w:rPr>
      </w:pPr>
      <w:r>
        <w:rPr>
          <w:rFonts w:hint="eastAsia" w:ascii="仿宋_GB2312" w:hAnsi="仿宋" w:eastAsia="仿宋_GB2312"/>
          <w:sz w:val="32"/>
          <w:szCs w:val="32"/>
        </w:rPr>
        <w:t>走道空间在装修设计上应遵循整体设计的风格，应延续起居室的装修设计的简约、大方思路。Ⅰ类装修采用6</w:t>
      </w:r>
      <w:r>
        <w:rPr>
          <w:rFonts w:ascii="仿宋_GB2312" w:hAnsi="仿宋" w:eastAsia="仿宋_GB2312"/>
          <w:sz w:val="32"/>
          <w:szCs w:val="32"/>
        </w:rPr>
        <w:t>00</w:t>
      </w:r>
      <w:r>
        <w:rPr>
          <w:rFonts w:hint="eastAsia" w:ascii="仿宋_GB2312" w:hAnsi="仿宋" w:eastAsia="仿宋_GB2312"/>
          <w:sz w:val="32"/>
          <w:szCs w:val="32"/>
        </w:rPr>
        <w:t>×</w:t>
      </w:r>
      <w:r>
        <w:rPr>
          <w:rFonts w:ascii="仿宋_GB2312" w:hAnsi="仿宋" w:eastAsia="仿宋_GB2312"/>
          <w:sz w:val="32"/>
          <w:szCs w:val="32"/>
        </w:rPr>
        <w:t>600</w:t>
      </w:r>
      <w:r>
        <w:rPr>
          <w:rFonts w:hint="eastAsia" w:ascii="仿宋_GB2312" w:hAnsi="仿宋" w:eastAsia="仿宋_GB2312"/>
          <w:sz w:val="32"/>
          <w:szCs w:val="32"/>
        </w:rPr>
        <w:t>mm地砖，墙面沿用客、餐厅相同材料，Ⅱ类、Ⅲ</w:t>
      </w:r>
      <w:r>
        <w:rPr>
          <w:rFonts w:hint="eastAsia" w:ascii="仿宋_GB2312" w:hAnsi="仿宋" w:eastAsia="仿宋_GB2312"/>
          <w:color w:val="000000" w:themeColor="text1"/>
          <w:sz w:val="32"/>
          <w:szCs w:val="32"/>
        </w:rPr>
        <w:t>类</w:t>
      </w:r>
      <w:r>
        <w:rPr>
          <w:rFonts w:hint="eastAsia" w:ascii="仿宋_GB2312" w:hAnsi="仿宋" w:eastAsia="仿宋_GB2312"/>
          <w:sz w:val="32"/>
          <w:szCs w:val="32"/>
        </w:rPr>
        <w:t>装修标准地面采用8</w:t>
      </w:r>
      <w:r>
        <w:rPr>
          <w:rFonts w:ascii="仿宋_GB2312" w:hAnsi="仿宋" w:eastAsia="仿宋_GB2312"/>
          <w:sz w:val="32"/>
          <w:szCs w:val="32"/>
        </w:rPr>
        <w:t>00</w:t>
      </w:r>
      <w:r>
        <w:rPr>
          <w:rFonts w:hint="eastAsia" w:ascii="仿宋_GB2312" w:hAnsi="仿宋" w:eastAsia="仿宋_GB2312"/>
          <w:sz w:val="32"/>
          <w:szCs w:val="32"/>
        </w:rPr>
        <w:t>×</w:t>
      </w:r>
      <w:r>
        <w:rPr>
          <w:rFonts w:ascii="仿宋_GB2312" w:hAnsi="仿宋" w:eastAsia="仿宋_GB2312"/>
          <w:sz w:val="32"/>
          <w:szCs w:val="32"/>
        </w:rPr>
        <w:t>800</w:t>
      </w:r>
      <w:r>
        <w:rPr>
          <w:rFonts w:hint="eastAsia" w:ascii="仿宋_GB2312" w:hAnsi="仿宋" w:eastAsia="仿宋_GB2312"/>
          <w:sz w:val="32"/>
          <w:szCs w:val="32"/>
        </w:rPr>
        <w:t>mm地砖，墙面沿用客、餐厅相同材料。</w:t>
      </w:r>
    </w:p>
    <w:p>
      <w:pPr>
        <w:spacing w:before="156" w:line="360" w:lineRule="auto"/>
        <w:jc w:val="center"/>
        <w:rPr>
          <w:rFonts w:ascii="仿宋_GB2312" w:eastAsia="仿宋_GB2312"/>
          <w:b/>
          <w:bCs/>
          <w:sz w:val="36"/>
          <w:szCs w:val="36"/>
        </w:rPr>
      </w:pPr>
    </w:p>
    <w:p>
      <w:pPr>
        <w:spacing w:before="156" w:line="360" w:lineRule="auto"/>
        <w:jc w:val="center"/>
        <w:rPr>
          <w:b/>
          <w:bCs/>
          <w:sz w:val="10"/>
          <w:szCs w:val="10"/>
        </w:rPr>
      </w:pPr>
      <w:r>
        <w:rPr>
          <w:rFonts w:hint="eastAsia" w:ascii="仿宋_GB2312" w:eastAsia="仿宋_GB2312"/>
          <w:b/>
          <w:bCs/>
          <w:sz w:val="36"/>
          <w:szCs w:val="36"/>
        </w:rPr>
        <w:t>10阳台</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10.1</w:t>
      </w:r>
      <w:r>
        <w:rPr>
          <w:rFonts w:hint="eastAsia" w:ascii="仿宋_GB2312" w:hAnsi="仿宋" w:eastAsia="仿宋_GB2312"/>
          <w:sz w:val="32"/>
          <w:szCs w:val="32"/>
        </w:rPr>
        <w:t>天花选用外墙无机矿物涂料，墙面材料同相邻外墙。阳台通透部分严谨封闭，天花安装LED类型防雾吸顶灯。</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10.2</w:t>
      </w:r>
      <w:r>
        <w:rPr>
          <w:rFonts w:hint="eastAsia" w:ascii="仿宋_GB2312" w:hAnsi="仿宋" w:eastAsia="仿宋_GB2312"/>
          <w:sz w:val="32"/>
          <w:szCs w:val="32"/>
        </w:rPr>
        <w:t>阳台应设置晾衣架，Ⅰ类标准采用不锈钢管悬挂式晾衣杆。Ⅱ类、Ⅲ</w:t>
      </w:r>
      <w:r>
        <w:rPr>
          <w:rFonts w:hint="eastAsia" w:ascii="仿宋_GB2312" w:hAnsi="仿宋" w:eastAsia="仿宋_GB2312"/>
          <w:color w:val="000000" w:themeColor="text1"/>
          <w:sz w:val="32"/>
          <w:szCs w:val="32"/>
        </w:rPr>
        <w:t>类</w:t>
      </w:r>
      <w:r>
        <w:rPr>
          <w:rFonts w:hint="eastAsia" w:ascii="仿宋_GB2312" w:hAnsi="仿宋" w:eastAsia="仿宋_GB2312"/>
          <w:sz w:val="32"/>
          <w:szCs w:val="32"/>
        </w:rPr>
        <w:t>标准采用不同档次升降式晾衣杆。</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10.3</w:t>
      </w:r>
      <w:r>
        <w:rPr>
          <w:rFonts w:hint="eastAsia" w:ascii="仿宋_GB2312" w:hAnsi="仿宋" w:eastAsia="仿宋_GB2312"/>
          <w:sz w:val="32"/>
          <w:szCs w:val="32"/>
        </w:rPr>
        <w:t>地面根据不同装饰标准，应选用不同档次材料的耐磨、易清洗的防滑地砖。地面应设置地漏和洗衣机排水管道，地漏位置应为地面最低处并与雨水管相连，阳台地砖的找坡度不小于1%。洗衣机排水管应单独设置且不得与雨水管相通；地漏不应采用钟罩式地漏，应采用防反溢地漏或多通道地漏。洗衣机地漏下设存水弯，水封高度不宜小于50mm。</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10.4</w:t>
      </w:r>
      <w:r>
        <w:rPr>
          <w:rFonts w:hint="eastAsia" w:ascii="仿宋_GB2312" w:hAnsi="仿宋" w:eastAsia="仿宋_GB2312"/>
          <w:sz w:val="32"/>
          <w:szCs w:val="32"/>
        </w:rPr>
        <w:t>阳台应设置冲洗龙头或洗衣机龙头；</w:t>
      </w:r>
    </w:p>
    <w:p>
      <w:pPr>
        <w:spacing w:before="156" w:line="600" w:lineRule="exact"/>
        <w:ind w:left="0"/>
        <w:rPr>
          <w:rFonts w:ascii="仿宋_GB2312" w:hAnsi="仿宋" w:eastAsia="仿宋_GB2312"/>
          <w:sz w:val="32"/>
          <w:szCs w:val="32"/>
        </w:rPr>
      </w:pPr>
      <w:r>
        <w:rPr>
          <w:rFonts w:ascii="仿宋_GB2312" w:hAnsi="仿宋" w:eastAsia="仿宋_GB2312"/>
          <w:b/>
          <w:bCs/>
          <w:sz w:val="32"/>
          <w:szCs w:val="32"/>
        </w:rPr>
        <w:t>10.5</w:t>
      </w:r>
      <w:r>
        <w:rPr>
          <w:rFonts w:hint="eastAsia" w:ascii="仿宋_GB2312" w:hAnsi="仿宋" w:eastAsia="仿宋_GB2312"/>
          <w:sz w:val="32"/>
          <w:szCs w:val="32"/>
        </w:rPr>
        <w:t>阳台在洗衣机位置应安装防溅电源插座。</w:t>
      </w:r>
    </w:p>
    <w:p>
      <w:pPr>
        <w:spacing w:before="156" w:line="600" w:lineRule="exact"/>
        <w:ind w:left="0"/>
        <w:rPr>
          <w:rFonts w:ascii="仿宋_GB2312" w:hAnsi="仿宋" w:eastAsia="仿宋_GB2312"/>
          <w:sz w:val="32"/>
          <w:szCs w:val="32"/>
        </w:rPr>
      </w:pPr>
      <w:r>
        <w:rPr>
          <w:rFonts w:hint="eastAsia" w:ascii="仿宋_GB2312" w:hAnsi="仿宋" w:eastAsia="仿宋_GB2312"/>
          <w:b/>
          <w:bCs/>
          <w:sz w:val="32"/>
          <w:szCs w:val="32"/>
        </w:rPr>
        <w:t>10.6</w:t>
      </w:r>
      <w:r>
        <w:rPr>
          <w:rFonts w:hint="eastAsia" w:ascii="仿宋_GB2312" w:hAnsi="仿宋" w:eastAsia="仿宋_GB2312"/>
          <w:sz w:val="32"/>
          <w:szCs w:val="32"/>
        </w:rPr>
        <w:t>阳台地面需做防水。</w:t>
      </w:r>
    </w:p>
    <w:p>
      <w:pPr>
        <w:spacing w:before="156" w:line="360" w:lineRule="auto"/>
        <w:ind w:left="0"/>
        <w:jc w:val="center"/>
        <w:rPr>
          <w:rFonts w:ascii="仿宋_GB2312" w:eastAsia="仿宋_GB2312"/>
          <w:b/>
          <w:bCs/>
          <w:sz w:val="36"/>
          <w:szCs w:val="36"/>
        </w:rPr>
      </w:pPr>
    </w:p>
    <w:p>
      <w:pPr>
        <w:spacing w:before="156" w:line="360" w:lineRule="auto"/>
        <w:ind w:left="0"/>
        <w:jc w:val="center"/>
        <w:rPr>
          <w:b/>
          <w:bCs/>
          <w:sz w:val="10"/>
          <w:szCs w:val="10"/>
        </w:rPr>
      </w:pPr>
      <w:r>
        <w:rPr>
          <w:rFonts w:hint="eastAsia" w:ascii="仿宋_GB2312" w:eastAsia="仿宋_GB2312"/>
          <w:b/>
          <w:bCs/>
          <w:sz w:val="36"/>
          <w:szCs w:val="36"/>
        </w:rPr>
        <w:t>11附录</w:t>
      </w:r>
    </w:p>
    <w:p>
      <w:pPr>
        <w:spacing w:before="156" w:line="360" w:lineRule="auto"/>
        <w:ind w:left="0"/>
        <w:jc w:val="left"/>
        <w:rPr>
          <w:rFonts w:ascii="仿宋_GB2312" w:hAnsi="仿宋" w:eastAsia="仿宋_GB2312"/>
          <w:sz w:val="32"/>
          <w:szCs w:val="32"/>
        </w:rPr>
      </w:pPr>
      <w:r>
        <w:rPr>
          <w:rFonts w:hint="eastAsia" w:ascii="仿宋_GB2312" w:hAnsi="仿宋" w:eastAsia="仿宋_GB2312"/>
          <w:sz w:val="32"/>
          <w:szCs w:val="32"/>
        </w:rPr>
        <w:t>表</w:t>
      </w:r>
      <w:r>
        <w:rPr>
          <w:rFonts w:ascii="仿宋_GB2312" w:hAnsi="仿宋" w:eastAsia="仿宋_GB2312"/>
          <w:sz w:val="32"/>
          <w:szCs w:val="32"/>
        </w:rPr>
        <w:t>1</w:t>
      </w:r>
      <w:r>
        <w:rPr>
          <w:rFonts w:hint="eastAsia" w:ascii="仿宋_GB2312" w:hAnsi="仿宋" w:eastAsia="仿宋_GB2312"/>
          <w:sz w:val="32"/>
          <w:szCs w:val="32"/>
        </w:rPr>
        <w:t>人才安居住房综合管线配置标准</w:t>
      </w:r>
    </w:p>
    <w:p>
      <w:pPr>
        <w:spacing w:before="156" w:line="360" w:lineRule="auto"/>
        <w:ind w:left="0"/>
        <w:jc w:val="left"/>
        <w:rPr>
          <w:rFonts w:ascii="仿宋_GB2312" w:hAnsi="仿宋" w:eastAsia="仿宋_GB2312"/>
          <w:sz w:val="32"/>
          <w:szCs w:val="32"/>
        </w:rPr>
      </w:pPr>
      <w:r>
        <w:rPr>
          <w:rFonts w:hint="eastAsia" w:ascii="仿宋_GB2312" w:hAnsi="仿宋" w:eastAsia="仿宋_GB2312"/>
          <w:sz w:val="32"/>
          <w:szCs w:val="32"/>
        </w:rPr>
        <w:t>表</w:t>
      </w:r>
      <w:r>
        <w:rPr>
          <w:rFonts w:ascii="仿宋_GB2312" w:hAnsi="仿宋" w:eastAsia="仿宋_GB2312"/>
          <w:sz w:val="32"/>
          <w:szCs w:val="32"/>
        </w:rPr>
        <w:t>2</w:t>
      </w:r>
      <w:r>
        <w:rPr>
          <w:rFonts w:hint="eastAsia" w:ascii="仿宋_GB2312" w:hAnsi="仿宋" w:eastAsia="仿宋_GB2312"/>
          <w:sz w:val="32"/>
          <w:szCs w:val="32"/>
        </w:rPr>
        <w:t>人才安居住房综合弱电配置标准</w:t>
      </w:r>
    </w:p>
    <w:p>
      <w:pPr>
        <w:spacing w:before="156" w:line="360" w:lineRule="auto"/>
        <w:ind w:left="0"/>
        <w:jc w:val="left"/>
        <w:rPr>
          <w:rFonts w:ascii="仿宋_GB2312" w:hAnsi="仿宋" w:eastAsia="仿宋_GB2312"/>
          <w:sz w:val="32"/>
          <w:szCs w:val="32"/>
        </w:rPr>
      </w:pPr>
      <w:r>
        <w:rPr>
          <w:rFonts w:hint="eastAsia" w:ascii="仿宋_GB2312" w:hAnsi="仿宋" w:eastAsia="仿宋_GB2312"/>
          <w:sz w:val="32"/>
          <w:szCs w:val="32"/>
        </w:rPr>
        <w:t>表</w:t>
      </w:r>
      <w:r>
        <w:rPr>
          <w:rFonts w:ascii="仿宋_GB2312" w:hAnsi="仿宋" w:eastAsia="仿宋_GB2312"/>
          <w:sz w:val="32"/>
          <w:szCs w:val="32"/>
        </w:rPr>
        <w:t>3</w:t>
      </w:r>
      <w:r>
        <w:rPr>
          <w:rFonts w:hint="eastAsia" w:ascii="仿宋_GB2312" w:hAnsi="仿宋" w:eastAsia="仿宋_GB2312"/>
          <w:sz w:val="32"/>
          <w:szCs w:val="32"/>
        </w:rPr>
        <w:t>人才安居住房装修配置标准</w:t>
      </w:r>
    </w:p>
    <w:p>
      <w:pPr>
        <w:spacing w:before="156" w:line="240" w:lineRule="auto"/>
        <w:ind w:left="0"/>
        <w:jc w:val="center"/>
        <w:rPr>
          <w:rFonts w:ascii="仿宋_GB2312" w:hAnsi="仿宋" w:eastAsia="仿宋_GB2312"/>
          <w:sz w:val="32"/>
          <w:szCs w:val="32"/>
        </w:rPr>
      </w:pPr>
    </w:p>
    <w:p>
      <w:pPr>
        <w:spacing w:before="156" w:line="240" w:lineRule="auto"/>
        <w:ind w:left="0"/>
        <w:jc w:val="center"/>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rPr>
          <w:rFonts w:ascii="仿宋_GB2312" w:hAnsi="仿宋" w:eastAsia="仿宋_GB2312"/>
          <w:sz w:val="32"/>
          <w:szCs w:val="32"/>
        </w:rPr>
      </w:pPr>
    </w:p>
    <w:p>
      <w:pPr>
        <w:spacing w:before="156" w:line="240" w:lineRule="auto"/>
        <w:ind w:left="0"/>
        <w:jc w:val="center"/>
        <w:rPr>
          <w:rFonts w:ascii="仿宋_GB2312" w:hAnsi="仿宋" w:eastAsia="仿宋_GB2312"/>
          <w:sz w:val="32"/>
          <w:szCs w:val="32"/>
        </w:rPr>
      </w:pPr>
      <w:r>
        <w:rPr>
          <w:rFonts w:hint="eastAsia" w:ascii="仿宋_GB2312" w:hAnsi="仿宋" w:eastAsia="仿宋_GB2312"/>
          <w:sz w:val="32"/>
          <w:szCs w:val="32"/>
        </w:rPr>
        <w:t>表</w:t>
      </w:r>
      <w:r>
        <w:rPr>
          <w:rFonts w:ascii="仿宋_GB2312" w:hAnsi="仿宋" w:eastAsia="仿宋_GB2312"/>
          <w:sz w:val="32"/>
          <w:szCs w:val="32"/>
        </w:rPr>
        <w:t>1</w:t>
      </w:r>
      <w:r>
        <w:rPr>
          <w:rFonts w:hint="eastAsia" w:ascii="仿宋_GB2312" w:hAnsi="仿宋" w:eastAsia="仿宋_GB2312"/>
          <w:sz w:val="32"/>
          <w:szCs w:val="32"/>
        </w:rPr>
        <w:t>：人才安居住房综合管线配置标准</w:t>
      </w:r>
    </w:p>
    <w:tbl>
      <w:tblPr>
        <w:tblStyle w:val="6"/>
        <w:tblpPr w:leftFromText="180" w:rightFromText="180" w:vertAnchor="text" w:horzAnchor="page" w:tblpX="1467" w:tblpY="700"/>
        <w:tblOverlap w:val="never"/>
        <w:tblW w:w="920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01"/>
        <w:gridCol w:w="1543"/>
        <w:gridCol w:w="2186"/>
        <w:gridCol w:w="2057"/>
        <w:gridCol w:w="20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944" w:type="dxa"/>
            <w:gridSpan w:val="2"/>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安装项目</w:t>
            </w:r>
          </w:p>
        </w:tc>
        <w:tc>
          <w:tcPr>
            <w:tcW w:w="6257" w:type="dxa"/>
            <w:gridSpan w:val="3"/>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主材配置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944" w:type="dxa"/>
            <w:gridSpan w:val="2"/>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2186"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Ⅰ类标准</w:t>
            </w:r>
          </w:p>
        </w:tc>
        <w:tc>
          <w:tcPr>
            <w:tcW w:w="2057"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Ⅱ类标准</w:t>
            </w:r>
          </w:p>
        </w:tc>
        <w:tc>
          <w:tcPr>
            <w:tcW w:w="2014"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Ⅲ</w:t>
            </w:r>
            <w:r>
              <w:rPr>
                <w:rFonts w:hint="eastAsia" w:ascii="仿宋_GB2312" w:hAnsi="仿宋" w:eastAsia="仿宋_GB2312"/>
                <w:color w:val="000000" w:themeColor="text1"/>
                <w:sz w:val="32"/>
                <w:szCs w:val="32"/>
              </w:rPr>
              <w:t>类</w:t>
            </w:r>
            <w:r>
              <w:rPr>
                <w:rFonts w:hint="eastAsia" w:ascii="仿宋_GB2312" w:hAnsi="仿宋" w:eastAsia="仿宋_GB2312"/>
                <w:sz w:val="32"/>
                <w:szCs w:val="32"/>
              </w:rPr>
              <w:t>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1401"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起居室、餐厅</w:t>
            </w:r>
          </w:p>
        </w:tc>
        <w:tc>
          <w:tcPr>
            <w:tcW w:w="1543" w:type="dxa"/>
            <w:vAlign w:val="center"/>
          </w:tcPr>
          <w:p>
            <w:pPr>
              <w:spacing w:beforeLines="0" w:line="500" w:lineRule="exact"/>
              <w:ind w:left="105" w:leftChars="50" w:right="105" w:rightChars="50"/>
              <w:jc w:val="center"/>
              <w:rPr>
                <w:rFonts w:ascii="仿宋_GB2312" w:hAnsi="仿宋" w:eastAsia="仿宋_GB2312"/>
                <w:sz w:val="30"/>
                <w:szCs w:val="30"/>
              </w:rPr>
            </w:pPr>
          </w:p>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二、三孔双联插座</w:t>
            </w:r>
          </w:p>
        </w:tc>
        <w:tc>
          <w:tcPr>
            <w:tcW w:w="2186"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5个（电视2个，沙发位2个，餐桌1个）</w:t>
            </w:r>
          </w:p>
        </w:tc>
        <w:tc>
          <w:tcPr>
            <w:tcW w:w="2057"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7个（电视2个，沙发位2个，餐桌2个，备用1个）</w:t>
            </w:r>
          </w:p>
        </w:tc>
        <w:tc>
          <w:tcPr>
            <w:tcW w:w="2014"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8个（电视3个，沙发位2个，餐桌2个，备用2个）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1401"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543"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三孔插座（带开关）</w:t>
            </w:r>
          </w:p>
        </w:tc>
        <w:tc>
          <w:tcPr>
            <w:tcW w:w="2186"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1个（冰箱1个）</w:t>
            </w:r>
          </w:p>
        </w:tc>
        <w:tc>
          <w:tcPr>
            <w:tcW w:w="2057"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1个（冰箱1个）</w:t>
            </w:r>
          </w:p>
        </w:tc>
        <w:tc>
          <w:tcPr>
            <w:tcW w:w="2014"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1个（冰箱1个）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401"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543"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空调插座</w:t>
            </w:r>
          </w:p>
        </w:tc>
        <w:tc>
          <w:tcPr>
            <w:tcW w:w="2186"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w:t>
            </w:r>
          </w:p>
        </w:tc>
        <w:tc>
          <w:tcPr>
            <w:tcW w:w="2057"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w:t>
            </w:r>
          </w:p>
        </w:tc>
        <w:tc>
          <w:tcPr>
            <w:tcW w:w="2014"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4" w:hRule="atLeast"/>
        </w:trPr>
        <w:tc>
          <w:tcPr>
            <w:tcW w:w="1401"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卧室</w:t>
            </w:r>
          </w:p>
        </w:tc>
        <w:tc>
          <w:tcPr>
            <w:tcW w:w="1543"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二、三孔双联插座</w:t>
            </w:r>
          </w:p>
        </w:tc>
        <w:tc>
          <w:tcPr>
            <w:tcW w:w="2186"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4个（电视2个，床头2个）仅主卧设置电视插座</w:t>
            </w:r>
          </w:p>
        </w:tc>
        <w:tc>
          <w:tcPr>
            <w:tcW w:w="2057"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5个（电视2个，床头2个，备用1个）仅主卧设置电视插座</w:t>
            </w:r>
          </w:p>
        </w:tc>
        <w:tc>
          <w:tcPr>
            <w:tcW w:w="2014"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6个（电视2个，床头3个，备用1个）仅主卧设置电视插座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401"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543"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空调插座</w:t>
            </w:r>
          </w:p>
        </w:tc>
        <w:tc>
          <w:tcPr>
            <w:tcW w:w="2186"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w:t>
            </w:r>
          </w:p>
        </w:tc>
        <w:tc>
          <w:tcPr>
            <w:tcW w:w="2057"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w:t>
            </w:r>
          </w:p>
        </w:tc>
        <w:tc>
          <w:tcPr>
            <w:tcW w:w="2014"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40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厨房</w:t>
            </w:r>
          </w:p>
        </w:tc>
        <w:tc>
          <w:tcPr>
            <w:tcW w:w="1543"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三孔插座（带开关）</w:t>
            </w:r>
          </w:p>
          <w:p>
            <w:pPr>
              <w:spacing w:beforeLines="0" w:line="500" w:lineRule="exact"/>
              <w:ind w:left="105" w:leftChars="50" w:right="105" w:rightChars="50"/>
              <w:jc w:val="center"/>
              <w:rPr>
                <w:rFonts w:ascii="仿宋_GB2312" w:hAnsi="仿宋" w:eastAsia="仿宋_GB2312"/>
                <w:sz w:val="30"/>
                <w:szCs w:val="30"/>
              </w:rPr>
            </w:pPr>
          </w:p>
        </w:tc>
        <w:tc>
          <w:tcPr>
            <w:tcW w:w="2186"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4个（抽油烟机1个，燃气热水器1个，厨具用2个）</w:t>
            </w:r>
          </w:p>
        </w:tc>
        <w:tc>
          <w:tcPr>
            <w:tcW w:w="2057"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5个（抽油烟机1个，燃气热水器1个，消毒柜1个，厨具用2个）</w:t>
            </w:r>
          </w:p>
        </w:tc>
        <w:tc>
          <w:tcPr>
            <w:tcW w:w="2014" w:type="dxa"/>
            <w:vAlign w:val="center"/>
          </w:tcPr>
          <w:p>
            <w:pPr>
              <w:spacing w:beforeLines="0" w:line="500" w:lineRule="exact"/>
              <w:ind w:left="105" w:leftChars="50" w:right="105" w:rightChars="50"/>
              <w:jc w:val="center"/>
              <w:rPr>
                <w:rFonts w:ascii="仿宋_GB2312" w:hAnsi="仿宋" w:eastAsia="仿宋_GB2312"/>
                <w:sz w:val="30"/>
                <w:szCs w:val="30"/>
              </w:rPr>
            </w:pPr>
            <w:r>
              <w:rPr>
                <w:rFonts w:hint="eastAsia" w:ascii="仿宋_GB2312" w:hAnsi="仿宋" w:eastAsia="仿宋_GB2312"/>
                <w:sz w:val="30"/>
                <w:szCs w:val="30"/>
              </w:rPr>
              <w:t>5个（抽油烟机1个，消毒柜1个，厨具用3个）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40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卫生间</w:t>
            </w:r>
          </w:p>
        </w:tc>
        <w:tc>
          <w:tcPr>
            <w:tcW w:w="1543"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二、三孔双联插座</w:t>
            </w:r>
          </w:p>
        </w:tc>
        <w:tc>
          <w:tcPr>
            <w:tcW w:w="2186"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2个（洗手台1个、排气扇1个）</w:t>
            </w:r>
          </w:p>
        </w:tc>
        <w:tc>
          <w:tcPr>
            <w:tcW w:w="2057"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2个（洗手台1个、排气扇1个）</w:t>
            </w:r>
          </w:p>
        </w:tc>
        <w:tc>
          <w:tcPr>
            <w:tcW w:w="2014"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2个（洗手台1个、排气扇1个）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401" w:type="dxa"/>
            <w:tcBorders>
              <w:top w:val="single" w:color="auto" w:sz="4" w:space="0"/>
              <w:bottom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阳台</w:t>
            </w:r>
          </w:p>
        </w:tc>
        <w:tc>
          <w:tcPr>
            <w:tcW w:w="1543" w:type="dxa"/>
            <w:tcBorders>
              <w:bottom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三孔插座（带开关）</w:t>
            </w:r>
          </w:p>
          <w:p>
            <w:pPr>
              <w:spacing w:beforeLines="0" w:line="500" w:lineRule="exact"/>
              <w:ind w:left="105" w:leftChars="50" w:right="105" w:rightChars="50"/>
              <w:jc w:val="center"/>
              <w:rPr>
                <w:rFonts w:ascii="仿宋_GB2312" w:hAnsi="仿宋" w:eastAsia="仿宋_GB2312"/>
                <w:sz w:val="32"/>
                <w:szCs w:val="32"/>
              </w:rPr>
            </w:pPr>
          </w:p>
        </w:tc>
        <w:tc>
          <w:tcPr>
            <w:tcW w:w="2186" w:type="dxa"/>
            <w:tcBorders>
              <w:bottom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2个（洗衣机1个，燃气热水器1个）</w:t>
            </w:r>
          </w:p>
        </w:tc>
        <w:tc>
          <w:tcPr>
            <w:tcW w:w="2057" w:type="dxa"/>
            <w:tcBorders>
              <w:bottom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2个（洗衣机1个，燃气热水器1个）</w:t>
            </w:r>
          </w:p>
        </w:tc>
        <w:tc>
          <w:tcPr>
            <w:tcW w:w="2014" w:type="dxa"/>
            <w:tcBorders>
              <w:bottom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2个（洗衣机1个，燃气热水器1个）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1401" w:type="dxa"/>
            <w:tcBorders>
              <w:top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照明配电箱</w:t>
            </w:r>
          </w:p>
        </w:tc>
        <w:tc>
          <w:tcPr>
            <w:tcW w:w="1543" w:type="dxa"/>
            <w:tcBorders>
              <w:top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p>
        </w:tc>
        <w:tc>
          <w:tcPr>
            <w:tcW w:w="2186" w:type="dxa"/>
            <w:tcBorders>
              <w:top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1个</w:t>
            </w:r>
          </w:p>
        </w:tc>
        <w:tc>
          <w:tcPr>
            <w:tcW w:w="2057" w:type="dxa"/>
            <w:tcBorders>
              <w:top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1个</w:t>
            </w:r>
          </w:p>
        </w:tc>
        <w:tc>
          <w:tcPr>
            <w:tcW w:w="2014" w:type="dxa"/>
            <w:tcBorders>
              <w:top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1个</w:t>
            </w:r>
          </w:p>
        </w:tc>
      </w:tr>
    </w:tbl>
    <w:p>
      <w:pPr>
        <w:spacing w:before="156" w:line="240" w:lineRule="auto"/>
        <w:ind w:left="0"/>
        <w:rPr>
          <w:rFonts w:ascii="仿宋_GB2312" w:hAnsi="仿宋" w:eastAsia="仿宋_GB2312"/>
          <w:sz w:val="32"/>
          <w:szCs w:val="32"/>
        </w:rPr>
      </w:pPr>
      <w:r>
        <w:rPr>
          <w:rFonts w:hint="eastAsia" w:ascii="仿宋_GB2312" w:hAnsi="仿宋" w:eastAsia="仿宋_GB2312"/>
          <w:sz w:val="32"/>
          <w:szCs w:val="32"/>
        </w:rPr>
        <w:t>注：Ⅰ类、Ⅱ类装修标准采用中档品牌，Ⅲ</w:t>
      </w:r>
      <w:r>
        <w:rPr>
          <w:rFonts w:hint="eastAsia" w:ascii="仿宋_GB2312" w:hAnsi="仿宋" w:eastAsia="仿宋_GB2312"/>
          <w:color w:val="000000" w:themeColor="text1"/>
          <w:sz w:val="32"/>
          <w:szCs w:val="32"/>
        </w:rPr>
        <w:t>类</w:t>
      </w:r>
      <w:r>
        <w:rPr>
          <w:rFonts w:hint="eastAsia" w:ascii="仿宋_GB2312" w:hAnsi="仿宋" w:eastAsia="仿宋_GB2312"/>
          <w:sz w:val="32"/>
          <w:szCs w:val="32"/>
        </w:rPr>
        <w:t>装修标准采用高档品牌。</w:t>
      </w:r>
    </w:p>
    <w:p>
      <w:pPr>
        <w:spacing w:before="156" w:line="240" w:lineRule="auto"/>
        <w:ind w:left="0"/>
        <w:jc w:val="center"/>
        <w:rPr>
          <w:rFonts w:ascii="仿宋_GB2312" w:hAnsi="仿宋" w:eastAsia="仿宋_GB2312"/>
          <w:sz w:val="32"/>
          <w:szCs w:val="32"/>
        </w:rPr>
      </w:pPr>
      <w:r>
        <w:rPr>
          <w:rFonts w:hint="eastAsia" w:ascii="仿宋_GB2312" w:hAnsi="仿宋" w:eastAsia="仿宋_GB2312"/>
          <w:sz w:val="32"/>
          <w:szCs w:val="32"/>
        </w:rPr>
        <w:t>表</w:t>
      </w:r>
      <w:r>
        <w:rPr>
          <w:rFonts w:ascii="仿宋_GB2312" w:hAnsi="仿宋" w:eastAsia="仿宋_GB2312"/>
          <w:sz w:val="32"/>
          <w:szCs w:val="32"/>
        </w:rPr>
        <w:t>2</w:t>
      </w:r>
      <w:r>
        <w:rPr>
          <w:rFonts w:hint="eastAsia" w:ascii="仿宋_GB2312" w:hAnsi="仿宋" w:eastAsia="仿宋_GB2312"/>
          <w:sz w:val="32"/>
          <w:szCs w:val="32"/>
        </w:rPr>
        <w:t>人才安居住房综合弱电配置标准</w:t>
      </w:r>
    </w:p>
    <w:tbl>
      <w:tblPr>
        <w:tblStyle w:val="6"/>
        <w:tblpPr w:leftFromText="180" w:rightFromText="180" w:vertAnchor="text" w:horzAnchor="page" w:tblpX="1062" w:tblpY="572"/>
        <w:tblOverlap w:val="never"/>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2"/>
        <w:gridCol w:w="1515"/>
        <w:gridCol w:w="2460"/>
        <w:gridCol w:w="2340"/>
        <w:gridCol w:w="17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3047" w:type="dxa"/>
            <w:gridSpan w:val="2"/>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安装项目</w:t>
            </w:r>
          </w:p>
        </w:tc>
        <w:tc>
          <w:tcPr>
            <w:tcW w:w="6591" w:type="dxa"/>
            <w:gridSpan w:val="3"/>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配置数量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3047" w:type="dxa"/>
            <w:gridSpan w:val="2"/>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246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Ⅰ类标准</w:t>
            </w:r>
          </w:p>
        </w:tc>
        <w:tc>
          <w:tcPr>
            <w:tcW w:w="234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Ⅱ类标准</w:t>
            </w:r>
          </w:p>
        </w:tc>
        <w:tc>
          <w:tcPr>
            <w:tcW w:w="17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Ⅲ</w:t>
            </w:r>
            <w:r>
              <w:rPr>
                <w:rFonts w:hint="eastAsia" w:ascii="仿宋_GB2312" w:hAnsi="仿宋" w:eastAsia="仿宋_GB2312"/>
                <w:color w:val="000000" w:themeColor="text1"/>
                <w:sz w:val="32"/>
                <w:szCs w:val="32"/>
              </w:rPr>
              <w:t>类</w:t>
            </w:r>
            <w:r>
              <w:rPr>
                <w:rFonts w:hint="eastAsia" w:ascii="仿宋_GB2312" w:hAnsi="仿宋" w:eastAsia="仿宋_GB2312"/>
                <w:sz w:val="32"/>
                <w:szCs w:val="32"/>
              </w:rPr>
              <w:t>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1532"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起居室、餐厅</w:t>
            </w:r>
          </w:p>
        </w:tc>
        <w:tc>
          <w:tcPr>
            <w:tcW w:w="151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电视插座</w:t>
            </w:r>
          </w:p>
        </w:tc>
        <w:tc>
          <w:tcPr>
            <w:tcW w:w="246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234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1791"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1532"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51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电话插座</w:t>
            </w:r>
          </w:p>
        </w:tc>
        <w:tc>
          <w:tcPr>
            <w:tcW w:w="246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234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1791"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4" w:hRule="atLeast"/>
        </w:trPr>
        <w:tc>
          <w:tcPr>
            <w:tcW w:w="1532"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51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网络插座</w:t>
            </w:r>
          </w:p>
        </w:tc>
        <w:tc>
          <w:tcPr>
            <w:tcW w:w="246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234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1791"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1532"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卧室</w:t>
            </w:r>
          </w:p>
        </w:tc>
        <w:tc>
          <w:tcPr>
            <w:tcW w:w="151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电视插座</w:t>
            </w:r>
          </w:p>
        </w:tc>
        <w:tc>
          <w:tcPr>
            <w:tcW w:w="2460" w:type="dxa"/>
            <w:vAlign w:val="center"/>
          </w:tcPr>
          <w:p>
            <w:pPr>
              <w:spacing w:beforeLines="0" w:line="500" w:lineRule="exact"/>
              <w:ind w:left="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个（仅主卧设）</w:t>
            </w:r>
          </w:p>
        </w:tc>
        <w:tc>
          <w:tcPr>
            <w:tcW w:w="234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个（仅主卧设）</w:t>
            </w:r>
          </w:p>
        </w:tc>
        <w:tc>
          <w:tcPr>
            <w:tcW w:w="1791"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个（仅主卧设）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1532"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51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电话插座</w:t>
            </w:r>
          </w:p>
        </w:tc>
        <w:tc>
          <w:tcPr>
            <w:tcW w:w="246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个（仅主卧设）</w:t>
            </w:r>
          </w:p>
        </w:tc>
        <w:tc>
          <w:tcPr>
            <w:tcW w:w="234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个（仅主卧设）</w:t>
            </w:r>
          </w:p>
        </w:tc>
        <w:tc>
          <w:tcPr>
            <w:tcW w:w="1791"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个（仅主卧设）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1532"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51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网络插座</w:t>
            </w:r>
          </w:p>
        </w:tc>
        <w:tc>
          <w:tcPr>
            <w:tcW w:w="246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个（仅主卧设）</w:t>
            </w:r>
          </w:p>
        </w:tc>
        <w:tc>
          <w:tcPr>
            <w:tcW w:w="2340"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个（仅主卧设）</w:t>
            </w:r>
          </w:p>
        </w:tc>
        <w:tc>
          <w:tcPr>
            <w:tcW w:w="1791" w:type="dxa"/>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1532" w:type="dxa"/>
            <w:tcBorders>
              <w:top w:val="single" w:color="auto" w:sz="4" w:space="0"/>
              <w:bottom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弱电箱</w:t>
            </w:r>
          </w:p>
        </w:tc>
        <w:tc>
          <w:tcPr>
            <w:tcW w:w="1515" w:type="dxa"/>
            <w:tcBorders>
              <w:top w:val="single" w:color="auto" w:sz="4" w:space="0"/>
              <w:bottom w:val="single" w:color="auto" w:sz="4" w:space="0"/>
            </w:tcBorders>
            <w:vAlign w:val="center"/>
          </w:tcPr>
          <w:p>
            <w:pPr>
              <w:spacing w:beforeLines="0" w:line="500" w:lineRule="exact"/>
              <w:ind w:left="105" w:leftChars="50" w:right="105" w:rightChars="50"/>
              <w:rPr>
                <w:rFonts w:ascii="仿宋_GB2312" w:hAnsi="仿宋" w:eastAsia="仿宋_GB2312"/>
                <w:sz w:val="32"/>
                <w:szCs w:val="32"/>
              </w:rPr>
            </w:pPr>
          </w:p>
        </w:tc>
        <w:tc>
          <w:tcPr>
            <w:tcW w:w="2460" w:type="dxa"/>
            <w:tcBorders>
              <w:top w:val="single" w:color="auto" w:sz="4" w:space="0"/>
              <w:bottom w:val="single" w:color="auto" w:sz="4" w:space="0"/>
            </w:tcBorders>
            <w:vAlign w:val="center"/>
          </w:tcPr>
          <w:p>
            <w:pPr>
              <w:spacing w:beforeLines="0" w:line="500" w:lineRule="exact"/>
              <w:ind w:left="105" w:leftChars="50" w:right="105" w:rightChars="50" w:firstLine="800" w:firstLineChars="25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2340" w:type="dxa"/>
            <w:tcBorders>
              <w:top w:val="single" w:color="auto" w:sz="4" w:space="0"/>
              <w:bottom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1791" w:type="dxa"/>
            <w:tcBorders>
              <w:top w:val="single" w:color="auto" w:sz="4" w:space="0"/>
              <w:bottom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32" w:type="dxa"/>
            <w:tcBorders>
              <w:top w:val="single" w:color="auto" w:sz="4" w:space="0"/>
            </w:tcBorders>
            <w:vAlign w:val="center"/>
          </w:tcPr>
          <w:p>
            <w:pPr>
              <w:spacing w:beforeLines="0" w:line="500" w:lineRule="exact"/>
              <w:ind w:left="105" w:leftChars="50" w:right="105" w:rightChars="50"/>
              <w:rPr>
                <w:rFonts w:ascii="仿宋_GB2312" w:hAnsi="仿宋" w:eastAsia="仿宋_GB2312"/>
                <w:sz w:val="32"/>
                <w:szCs w:val="32"/>
              </w:rPr>
            </w:pPr>
            <w:r>
              <w:rPr>
                <w:rFonts w:hint="eastAsia" w:ascii="仿宋_GB2312" w:hAnsi="仿宋" w:eastAsia="仿宋_GB2312"/>
                <w:sz w:val="32"/>
                <w:szCs w:val="32"/>
              </w:rPr>
              <w:t>可视对讲</w:t>
            </w:r>
          </w:p>
        </w:tc>
        <w:tc>
          <w:tcPr>
            <w:tcW w:w="1515" w:type="dxa"/>
            <w:tcBorders>
              <w:top w:val="single" w:color="auto" w:sz="4" w:space="0"/>
            </w:tcBorders>
            <w:vAlign w:val="center"/>
          </w:tcPr>
          <w:p>
            <w:pPr>
              <w:spacing w:beforeLines="0" w:line="500" w:lineRule="exact"/>
              <w:ind w:left="105" w:leftChars="50" w:right="105" w:rightChars="50"/>
              <w:rPr>
                <w:rFonts w:ascii="仿宋_GB2312" w:hAnsi="仿宋" w:eastAsia="仿宋_GB2312"/>
                <w:sz w:val="32"/>
                <w:szCs w:val="32"/>
              </w:rPr>
            </w:pPr>
          </w:p>
        </w:tc>
        <w:tc>
          <w:tcPr>
            <w:tcW w:w="2460" w:type="dxa"/>
            <w:tcBorders>
              <w:top w:val="single" w:color="auto" w:sz="4" w:space="0"/>
            </w:tcBorders>
            <w:vAlign w:val="center"/>
          </w:tcPr>
          <w:p>
            <w:pPr>
              <w:spacing w:beforeLines="0" w:line="500" w:lineRule="exact"/>
              <w:ind w:left="105" w:leftChars="50" w:right="105" w:rightChars="50" w:firstLine="800" w:firstLineChars="25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2340" w:type="dxa"/>
            <w:tcBorders>
              <w:top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c>
          <w:tcPr>
            <w:tcW w:w="1791" w:type="dxa"/>
            <w:tcBorders>
              <w:top w:val="single" w:color="auto" w:sz="4" w:space="0"/>
            </w:tcBorders>
            <w:vAlign w:val="center"/>
          </w:tcPr>
          <w:p>
            <w:pPr>
              <w:spacing w:beforeLines="0" w:line="500" w:lineRule="exact"/>
              <w:ind w:left="105" w:leftChars="50" w:right="105" w:rightChars="50"/>
              <w:jc w:val="center"/>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个</w:t>
            </w:r>
          </w:p>
        </w:tc>
      </w:tr>
    </w:tbl>
    <w:p>
      <w:pPr>
        <w:spacing w:before="156" w:line="360" w:lineRule="auto"/>
        <w:ind w:left="0"/>
        <w:rPr>
          <w:rFonts w:ascii="仿宋_GB2312" w:hAnsi="仿宋" w:eastAsia="仿宋_GB2312"/>
          <w:sz w:val="32"/>
          <w:szCs w:val="32"/>
        </w:rPr>
      </w:pPr>
      <w:r>
        <w:rPr>
          <w:rFonts w:hint="eastAsia" w:ascii="仿宋_GB2312" w:hAnsi="仿宋" w:eastAsia="仿宋_GB2312"/>
          <w:sz w:val="32"/>
          <w:szCs w:val="32"/>
        </w:rPr>
        <w:t>注：Ⅰ类、Ⅱ类装修标准采用中档品牌，Ⅲ</w:t>
      </w:r>
      <w:r>
        <w:rPr>
          <w:rFonts w:hint="eastAsia" w:ascii="仿宋_GB2312" w:hAnsi="仿宋" w:eastAsia="仿宋_GB2312"/>
          <w:color w:val="000000" w:themeColor="text1"/>
          <w:sz w:val="32"/>
          <w:szCs w:val="32"/>
        </w:rPr>
        <w:t>类</w:t>
      </w:r>
      <w:r>
        <w:rPr>
          <w:rFonts w:hint="eastAsia" w:ascii="仿宋_GB2312" w:hAnsi="仿宋" w:eastAsia="仿宋_GB2312"/>
          <w:sz w:val="32"/>
          <w:szCs w:val="32"/>
        </w:rPr>
        <w:t>装修标准采用高档品牌。</w:t>
      </w:r>
    </w:p>
    <w:p>
      <w:pPr>
        <w:spacing w:before="156" w:line="240" w:lineRule="auto"/>
        <w:ind w:left="0"/>
        <w:jc w:val="center"/>
        <w:rPr>
          <w:rFonts w:ascii="仿宋_GB2312" w:hAnsi="仿宋" w:eastAsia="仿宋_GB2312"/>
          <w:sz w:val="32"/>
          <w:szCs w:val="32"/>
        </w:rPr>
      </w:pPr>
      <w:r>
        <w:rPr>
          <w:rFonts w:hint="eastAsia" w:ascii="仿宋_GB2312" w:hAnsi="仿宋" w:eastAsia="仿宋_GB2312"/>
          <w:sz w:val="32"/>
          <w:szCs w:val="32"/>
        </w:rPr>
        <w:t>表</w:t>
      </w:r>
      <w:r>
        <w:rPr>
          <w:rFonts w:ascii="仿宋_GB2312" w:hAnsi="仿宋" w:eastAsia="仿宋_GB2312"/>
          <w:sz w:val="32"/>
          <w:szCs w:val="32"/>
        </w:rPr>
        <w:t>3</w:t>
      </w:r>
      <w:r>
        <w:rPr>
          <w:rFonts w:hint="eastAsia" w:ascii="仿宋_GB2312" w:hAnsi="仿宋" w:eastAsia="仿宋_GB2312"/>
          <w:sz w:val="32"/>
          <w:szCs w:val="32"/>
        </w:rPr>
        <w:t>：人才安居住房装修配置标准</w:t>
      </w:r>
    </w:p>
    <w:tbl>
      <w:tblPr>
        <w:tblStyle w:val="6"/>
        <w:tblpPr w:leftFromText="180" w:rightFromText="180" w:vertAnchor="text" w:horzAnchor="page" w:tblpX="1029" w:tblpY="478"/>
        <w:tblOverlap w:val="never"/>
        <w:tblW w:w="99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5"/>
        <w:gridCol w:w="1245"/>
        <w:gridCol w:w="2490"/>
        <w:gridCol w:w="2491"/>
        <w:gridCol w:w="24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490" w:type="dxa"/>
            <w:gridSpan w:val="2"/>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装修项目</w:t>
            </w:r>
          </w:p>
        </w:tc>
        <w:tc>
          <w:tcPr>
            <w:tcW w:w="7472" w:type="dxa"/>
            <w:gridSpan w:val="3"/>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装修主材配置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490" w:type="dxa"/>
            <w:gridSpan w:val="2"/>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Ⅰ类标准</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Ⅱ类标准</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Ⅲ</w:t>
            </w:r>
            <w:r>
              <w:rPr>
                <w:rFonts w:hint="eastAsia" w:ascii="仿宋_GB2312" w:hAnsi="仿宋" w:eastAsia="仿宋_GB2312"/>
                <w:color w:val="000000" w:themeColor="text1"/>
                <w:sz w:val="32"/>
                <w:szCs w:val="32"/>
              </w:rPr>
              <w:t>类</w:t>
            </w:r>
            <w:r>
              <w:rPr>
                <w:rFonts w:hint="eastAsia" w:ascii="仿宋_GB2312" w:hAnsi="仿宋" w:eastAsia="仿宋_GB2312"/>
                <w:sz w:val="32"/>
                <w:szCs w:val="32"/>
              </w:rPr>
              <w:t>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起居室、餐厅</w:t>
            </w: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地面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普通抛光砖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中档抛釉砖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高档抛釉砖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踢脚</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普通抛光砖暗藏</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中档抛釉砖暗藏</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高档抛釉砖暗藏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墙面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顶棚</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沿客餐厅屋顶做一级吊顶配L</w:t>
            </w:r>
            <w:r>
              <w:rPr>
                <w:rFonts w:ascii="仿宋_GB2312" w:hAnsi="仿宋" w:eastAsia="仿宋_GB2312"/>
                <w:sz w:val="32"/>
                <w:szCs w:val="32"/>
              </w:rPr>
              <w:t>ED</w:t>
            </w:r>
            <w:r>
              <w:rPr>
                <w:rFonts w:hint="eastAsia" w:ascii="仿宋_GB2312" w:hAnsi="仿宋" w:eastAsia="仿宋_GB2312"/>
                <w:sz w:val="32"/>
                <w:szCs w:val="32"/>
              </w:rPr>
              <w:t>筒灯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整体做花式吊顶配灯带及L</w:t>
            </w:r>
            <w:r>
              <w:rPr>
                <w:rFonts w:ascii="仿宋_GB2312" w:hAnsi="仿宋" w:eastAsia="仿宋_GB2312"/>
                <w:sz w:val="32"/>
                <w:szCs w:val="32"/>
              </w:rPr>
              <w:t>ED</w:t>
            </w:r>
            <w:r>
              <w:rPr>
                <w:rFonts w:hint="eastAsia" w:ascii="仿宋_GB2312" w:hAnsi="仿宋" w:eastAsia="仿宋_GB2312"/>
                <w:sz w:val="32"/>
                <w:szCs w:val="32"/>
              </w:rPr>
              <w:t>筒灯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灯具</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节能型LED吸顶灯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节能型LED吸顶灯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节能型LED吸顶灯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卧室</w:t>
            </w: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地面</w:t>
            </w:r>
          </w:p>
        </w:tc>
        <w:tc>
          <w:tcPr>
            <w:tcW w:w="2490" w:type="dxa"/>
          </w:tcPr>
          <w:p>
            <w:pPr>
              <w:spacing w:beforeLines="0" w:line="500" w:lineRule="exact"/>
              <w:ind w:left="105" w:leftChars="50" w:right="105" w:rightChars="50"/>
              <w:rPr>
                <w:rFonts w:ascii="仿宋_GB2312" w:hAnsi="仿宋" w:eastAsia="仿宋_GB2312"/>
                <w:sz w:val="32"/>
                <w:szCs w:val="32"/>
              </w:rPr>
            </w:pPr>
            <w:r>
              <w:rPr>
                <w:rFonts w:hint="eastAsia" w:ascii="仿宋_GB2312" w:hAnsi="仿宋" w:eastAsia="仿宋_GB2312"/>
                <w:sz w:val="32"/>
                <w:szCs w:val="32"/>
              </w:rPr>
              <w:t>普通抛光砖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中档强化复合地板</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高档强化复合地板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踢脚</w:t>
            </w:r>
          </w:p>
        </w:tc>
        <w:tc>
          <w:tcPr>
            <w:tcW w:w="2490" w:type="dxa"/>
          </w:tcPr>
          <w:p>
            <w:pPr>
              <w:spacing w:beforeLines="0" w:line="500" w:lineRule="exact"/>
              <w:ind w:left="105" w:leftChars="50" w:right="105" w:rightChars="50"/>
              <w:rPr>
                <w:rFonts w:ascii="仿宋_GB2312" w:hAnsi="仿宋" w:eastAsia="仿宋_GB2312"/>
                <w:sz w:val="32"/>
                <w:szCs w:val="32"/>
              </w:rPr>
            </w:pPr>
            <w:r>
              <w:rPr>
                <w:rFonts w:hint="eastAsia" w:ascii="仿宋_GB2312" w:hAnsi="仿宋" w:eastAsia="仿宋_GB2312"/>
                <w:sz w:val="32"/>
                <w:szCs w:val="32"/>
              </w:rPr>
              <w:t>普通抛光砖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中档强化复合地板</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高档强化复合地板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墙面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顶棚</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浅色无机矿物涂料涂料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灯具</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节能型LED吸顶灯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节能型LED吸顶灯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节能型LED吸顶灯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厨房</w:t>
            </w: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地面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普通防滑地砖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中档防滑地砖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高档防滑地砖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墙面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普通墙面砖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中档墙面砖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高档墙面砖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顶棚</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铝扣板集成吊顶</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铝扣板集成吊顶</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铝扣板集成吊顶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灯具</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防水防尘集成通用型吸顶灯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防水防尘集成通用型吸顶灯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防水防尘集成通用型吸顶灯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橱柜</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台面为普通大理石面板，普通成品吊柜、地柜且带金属边框</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台面为中档大理石面板，中档成品吊柜、地柜且带金属边框</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台面为高档大理石面板，高档成品吊柜、地柜且带金属边框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厨房设备</w:t>
            </w:r>
          </w:p>
        </w:tc>
        <w:tc>
          <w:tcPr>
            <w:tcW w:w="2490" w:type="dxa"/>
            <w:vAlign w:val="center"/>
          </w:tcPr>
          <w:p>
            <w:pPr>
              <w:spacing w:beforeLines="0" w:line="400" w:lineRule="exact"/>
              <w:ind w:left="105" w:leftChars="50" w:right="105" w:rightChars="50"/>
              <w:rPr>
                <w:rFonts w:ascii="仿宋_GB2312" w:hAnsi="仿宋" w:eastAsia="仿宋_GB2312"/>
                <w:sz w:val="32"/>
                <w:szCs w:val="32"/>
              </w:rPr>
            </w:pPr>
            <w:r>
              <w:rPr>
                <w:rFonts w:hint="eastAsia" w:ascii="仿宋_GB2312" w:hAnsi="仿宋" w:eastAsia="仿宋_GB2312"/>
                <w:sz w:val="32"/>
                <w:szCs w:val="32"/>
              </w:rPr>
              <w:t>不锈钢双盆、普通不锈钢水龙头</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不锈钢双盆、中档不锈钢水龙头</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不锈钢双盆、高档不锈钢水龙头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卫生间</w:t>
            </w: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地面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普通防滑地砖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中档防滑地砖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高档防滑地砖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墙面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普通墙面砖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中档墙面砖</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高档墙面砖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顶棚</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铝扣板吊顶</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铝扣板吊顶</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铝扣板吊顶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灯具</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防水防尘集成通用型LED吸顶灯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防水防尘集成通用型LED吸顶灯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防水防尘集成通用型LED吸顶灯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卫浴洁具</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普通花洒、成品洗脸盆、普通节水坐便器</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中档花洒、人造石台面洗脸盆、中档节水坐便器</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成品淋浴间、高档花洒、人造石台面洗脸盆、高档节水坐便器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卫浴五金等</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成品镜面、排气扇</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成品化妆镜柜、排气扇</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成品化妆镜柜、排气扇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阳台</w:t>
            </w: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地面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普通防滑地砖、地面设地漏及洗衣机排水管道</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中档防滑地砖、地面设地漏及洗衣机排水管道</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高档防滑地砖、地面设地漏及洗衣机排水管道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墙面</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材料同相邻外墙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材料同相邻外墙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材料同相邻外墙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顶棚</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外墙无机矿物涂料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外墙无机矿物涂料</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外墙无机矿物涂料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灯具</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防水LED节能吸顶灯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防水LED节能吸顶灯</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防水LED节能吸顶灯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restart"/>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门</w:t>
            </w: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厨、卫</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铝合金玻璃门</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铝合金玻璃门</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铝合金玻璃门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卧室门</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实心实木复合门</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实心实木复合门</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实心实木复合门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门五金</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普通门锁、门吸</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中档门锁、门吸</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高档门锁、门吸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Merge w:val="continue"/>
            <w:vAlign w:val="center"/>
          </w:tcPr>
          <w:p>
            <w:pPr>
              <w:spacing w:beforeLines="0" w:line="500" w:lineRule="exact"/>
              <w:ind w:left="105" w:leftChars="50" w:right="105" w:rightChars="50"/>
              <w:jc w:val="center"/>
              <w:rPr>
                <w:rFonts w:ascii="仿宋_GB2312" w:hAnsi="仿宋" w:eastAsia="仿宋_GB2312"/>
                <w:sz w:val="32"/>
                <w:szCs w:val="32"/>
              </w:rPr>
            </w:pPr>
          </w:p>
        </w:tc>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窗台</w:t>
            </w:r>
          </w:p>
        </w:tc>
        <w:tc>
          <w:tcPr>
            <w:tcW w:w="2490"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普通花岗岩石材或抛光砖台面，不锈钢护栏</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中档花岗岩石材或抛光砖台面，不锈钢护栏</w:t>
            </w:r>
          </w:p>
        </w:tc>
        <w:tc>
          <w:tcPr>
            <w:tcW w:w="2491"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高档花岗岩石材或抛光砖台面，不锈钢护栏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5" w:type="dxa"/>
            <w:vAlign w:val="center"/>
          </w:tcPr>
          <w:p>
            <w:pPr>
              <w:spacing w:beforeLines="0" w:line="500" w:lineRule="exact"/>
              <w:ind w:left="105" w:leftChars="50" w:right="105" w:rightChars="50"/>
              <w:jc w:val="center"/>
              <w:rPr>
                <w:rFonts w:ascii="仿宋_GB2312" w:hAnsi="仿宋" w:eastAsia="仿宋_GB2312"/>
                <w:sz w:val="32"/>
                <w:szCs w:val="32"/>
              </w:rPr>
            </w:pPr>
            <w:r>
              <w:rPr>
                <w:rFonts w:hint="eastAsia" w:ascii="仿宋_GB2312" w:hAnsi="仿宋" w:eastAsia="仿宋_GB2312"/>
                <w:sz w:val="32"/>
                <w:szCs w:val="32"/>
              </w:rPr>
              <w:t>注</w:t>
            </w:r>
          </w:p>
        </w:tc>
        <w:tc>
          <w:tcPr>
            <w:tcW w:w="8717" w:type="dxa"/>
            <w:gridSpan w:val="4"/>
            <w:vAlign w:val="center"/>
          </w:tcPr>
          <w:p>
            <w:pPr>
              <w:spacing w:beforeLines="0" w:line="500" w:lineRule="exact"/>
              <w:ind w:left="105" w:leftChars="50" w:right="105" w:rightChars="50"/>
              <w:jc w:val="left"/>
              <w:rPr>
                <w:rFonts w:ascii="仿宋_GB2312" w:hAnsi="仿宋" w:eastAsia="仿宋_GB2312"/>
                <w:sz w:val="32"/>
                <w:szCs w:val="32"/>
              </w:rPr>
            </w:pPr>
            <w:r>
              <w:rPr>
                <w:rFonts w:hint="eastAsia" w:ascii="仿宋_GB2312" w:hAnsi="仿宋" w:eastAsia="仿宋_GB2312"/>
                <w:sz w:val="32"/>
                <w:szCs w:val="32"/>
              </w:rPr>
              <w:t>以上选用材料必须满足国家相关标准及规范</w:t>
            </w:r>
          </w:p>
          <w:p>
            <w:pPr>
              <w:tabs>
                <w:tab w:val="left" w:pos="682"/>
              </w:tabs>
              <w:spacing w:beforeLines="0" w:line="500" w:lineRule="exact"/>
              <w:ind w:left="105" w:leftChars="50" w:right="105" w:rightChars="50"/>
              <w:jc w:val="left"/>
              <w:rPr>
                <w:rFonts w:ascii="仿宋_GB2312" w:hAnsi="仿宋" w:eastAsia="仿宋_GB2312"/>
                <w:sz w:val="32"/>
                <w:szCs w:val="32"/>
              </w:rPr>
            </w:pPr>
            <w:r>
              <w:rPr>
                <w:rFonts w:hint="eastAsia" w:ascii="仿宋_GB2312" w:hAnsi="仿宋" w:eastAsia="仿宋_GB2312"/>
                <w:sz w:val="32"/>
                <w:szCs w:val="32"/>
              </w:rPr>
              <w:t>铝合金玻璃门型材壁厚</w:t>
            </w:r>
            <w:r>
              <w:rPr>
                <w:rFonts w:ascii="仿宋_GB2312" w:hAnsi="仿宋" w:eastAsia="仿宋_GB2312"/>
                <w:sz w:val="32"/>
                <w:szCs w:val="32"/>
              </w:rPr>
              <w:t>1.4</w:t>
            </w:r>
            <w:r>
              <w:rPr>
                <w:rFonts w:hint="eastAsia" w:ascii="仿宋_GB2312" w:hAnsi="仿宋" w:eastAsia="仿宋_GB2312"/>
                <w:sz w:val="32"/>
                <w:szCs w:val="32"/>
              </w:rPr>
              <w:t>mm以上，玻璃≥1</w:t>
            </w:r>
            <w:r>
              <w:rPr>
                <w:rFonts w:ascii="仿宋_GB2312" w:hAnsi="仿宋" w:eastAsia="仿宋_GB2312"/>
                <w:sz w:val="32"/>
                <w:szCs w:val="32"/>
              </w:rPr>
              <w:t>.5</w:t>
            </w:r>
            <w:r>
              <w:rPr>
                <w:rFonts w:hint="eastAsia" w:ascii="仿宋_GB2312" w:hAnsi="仿宋" w:eastAsia="仿宋_GB2312"/>
                <w:sz w:val="32"/>
                <w:szCs w:val="32"/>
              </w:rPr>
              <w:t>㎡以上采用8㎜厚安全玻璃。</w:t>
            </w:r>
          </w:p>
        </w:tc>
      </w:tr>
    </w:tbl>
    <w:p>
      <w:pPr>
        <w:spacing w:before="156" w:line="600" w:lineRule="exact"/>
        <w:ind w:left="0"/>
      </w:pPr>
    </w:p>
    <w:sectPr>
      <w:footerReference r:id="rId11" w:type="default"/>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1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18870" cy="2286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18870" cy="228600"/>
                      </a:xfrm>
                      <a:prstGeom prst="rect">
                        <a:avLst/>
                      </a:prstGeom>
                      <a:noFill/>
                      <a:ln w="6350">
                        <a:noFill/>
                      </a:ln>
                      <a:effectLst/>
                    </wps:spPr>
                    <wps:txbx>
                      <w:txbxContent>
                        <w:p>
                          <w:pPr>
                            <w:pStyle w:val="3"/>
                            <w:spacing w:before="120"/>
                          </w:pPr>
                          <w:r>
                            <w:rPr>
                              <w:rFonts w:hint="eastAsia"/>
                            </w:rPr>
                            <w:t>第</w:t>
                          </w:r>
                          <w:r>
                            <w:fldChar w:fldCharType="begin"/>
                          </w:r>
                          <w:r>
                            <w:instrText xml:space="preserve"> PAGE  \* MERGEFORMAT </w:instrText>
                          </w:r>
                          <w:r>
                            <w:fldChar w:fldCharType="separate"/>
                          </w:r>
                          <w:r>
                            <w:t>1</w:t>
                          </w:r>
                          <w:r>
                            <w:fldChar w:fldCharType="end"/>
                          </w:r>
                          <w:r>
                            <w:rPr>
                              <w:rFonts w:hint="eastAsia"/>
                            </w:rPr>
                            <w:t>页共</w:t>
                          </w:r>
                          <w:r>
                            <w:t>2</w:t>
                          </w:r>
                          <w:r>
                            <w:rPr>
                              <w:rFonts w:hint="eastAsia"/>
                            </w:rPr>
                            <w:t>6页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pt;width:88.1pt;mso-position-horizontal:center;mso-position-horizontal-relative:margin;mso-wrap-style:none;z-index:251659264;mso-width-relative:page;mso-height-relative:page;" filled="f" stroked="f" coordsize="21600,21600" o:gfxdata="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ioYO/NMAAAAEAQAADwAAAAAAAAABACAAAAAiAAAAZHJzL2Rvd25yZXYueG1s&#10;UEsBAhQAFAAAAAgAh07iQGNRSxw2AgAAYgQAAA4AAAAAAAAAAQAgAAAAIgEAAGRycy9lMm9Eb2Mu&#10;eG1sUEsFBgAAAAAGAAYAWQEAAMoFAAAAAA==&#10;">
              <v:fill on="f" focussize="0,0"/>
              <v:stroke on="f" weight="0.5pt"/>
              <v:imagedata o:title=""/>
              <o:lock v:ext="edit" aspectratio="f"/>
              <v:textbox inset="0mm,0mm,0mm,0mm" style="mso-fit-shape-to-text:t;">
                <w:txbxContent>
                  <w:p>
                    <w:pPr>
                      <w:pStyle w:val="3"/>
                      <w:spacing w:before="120"/>
                    </w:pPr>
                    <w:r>
                      <w:rPr>
                        <w:rFonts w:hint="eastAsia"/>
                      </w:rPr>
                      <w:t>第</w:t>
                    </w:r>
                    <w:r>
                      <w:fldChar w:fldCharType="begin"/>
                    </w:r>
                    <w:r>
                      <w:instrText xml:space="preserve"> PAGE  \* MERGEFORMAT </w:instrText>
                    </w:r>
                    <w:r>
                      <w:fldChar w:fldCharType="separate"/>
                    </w:r>
                    <w:r>
                      <w:t>1</w:t>
                    </w:r>
                    <w:r>
                      <w:fldChar w:fldCharType="end"/>
                    </w:r>
                    <w:r>
                      <w:rPr>
                        <w:rFonts w:hint="eastAsia"/>
                      </w:rPr>
                      <w:t>页共</w:t>
                    </w:r>
                    <w:r>
                      <w:t>2</w:t>
                    </w:r>
                    <w:r>
                      <w:rPr>
                        <w:rFonts w:hint="eastAsia"/>
                      </w:rPr>
                      <w:t>6页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5316FD"/>
    <w:multiLevelType w:val="singleLevel"/>
    <w:tmpl w:val="595316FD"/>
    <w:lvl w:ilvl="0" w:tentative="0">
      <w:start w:val="1"/>
      <w:numFmt w:val="decimal"/>
      <w:lvlText w:val="%1."/>
      <w:lvlJc w:val="left"/>
      <w:pPr>
        <w:tabs>
          <w:tab w:val="left" w:pos="425"/>
        </w:tabs>
        <w:ind w:left="425" w:hanging="425"/>
      </w:pPr>
      <w:rPr>
        <w:rFonts w:hint="default"/>
      </w:rPr>
    </w:lvl>
  </w:abstractNum>
  <w:abstractNum w:abstractNumId="1">
    <w:nsid w:val="59531724"/>
    <w:multiLevelType w:val="singleLevel"/>
    <w:tmpl w:val="59531724"/>
    <w:lvl w:ilvl="0" w:tentative="0">
      <w:start w:val="1"/>
      <w:numFmt w:val="decimal"/>
      <w:lvlText w:val="%1."/>
      <w:lvlJc w:val="left"/>
      <w:pPr>
        <w:tabs>
          <w:tab w:val="left" w:pos="425"/>
        </w:tabs>
        <w:ind w:left="425" w:hanging="425"/>
      </w:pPr>
      <w:rPr>
        <w:rFonts w:hint="default"/>
      </w:rPr>
    </w:lvl>
  </w:abstractNum>
  <w:abstractNum w:abstractNumId="2">
    <w:nsid w:val="59531762"/>
    <w:multiLevelType w:val="singleLevel"/>
    <w:tmpl w:val="59531762"/>
    <w:lvl w:ilvl="0" w:tentative="0">
      <w:start w:val="1"/>
      <w:numFmt w:val="decimal"/>
      <w:lvlText w:val="%1."/>
      <w:lvlJc w:val="left"/>
      <w:pPr>
        <w:tabs>
          <w:tab w:val="left" w:pos="425"/>
        </w:tabs>
        <w:ind w:left="425" w:hanging="425"/>
      </w:pPr>
      <w:rPr>
        <w:rFonts w:hint="default"/>
      </w:rPr>
    </w:lvl>
  </w:abstractNum>
  <w:abstractNum w:abstractNumId="3">
    <w:nsid w:val="595318AD"/>
    <w:multiLevelType w:val="singleLevel"/>
    <w:tmpl w:val="595318AD"/>
    <w:lvl w:ilvl="0" w:tentative="0">
      <w:start w:val="1"/>
      <w:numFmt w:val="decimal"/>
      <w:lvlText w:val="%1."/>
      <w:lvlJc w:val="left"/>
      <w:pPr>
        <w:tabs>
          <w:tab w:val="left" w:pos="1134"/>
        </w:tabs>
        <w:ind w:left="1134" w:hanging="425"/>
      </w:pPr>
      <w:rPr>
        <w:rFonts w:hint="default"/>
        <w:b/>
        <w:bCs/>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9C78A7"/>
    <w:rsid w:val="00004EFB"/>
    <w:rsid w:val="00022395"/>
    <w:rsid w:val="000408BF"/>
    <w:rsid w:val="000475CD"/>
    <w:rsid w:val="00056617"/>
    <w:rsid w:val="00060B92"/>
    <w:rsid w:val="000B0076"/>
    <w:rsid w:val="000C51EE"/>
    <w:rsid w:val="001543DA"/>
    <w:rsid w:val="001904E2"/>
    <w:rsid w:val="001C099E"/>
    <w:rsid w:val="001D1A10"/>
    <w:rsid w:val="001E5FCD"/>
    <w:rsid w:val="00207554"/>
    <w:rsid w:val="002238D6"/>
    <w:rsid w:val="002449D6"/>
    <w:rsid w:val="00244AB8"/>
    <w:rsid w:val="00282722"/>
    <w:rsid w:val="002C7850"/>
    <w:rsid w:val="002D1871"/>
    <w:rsid w:val="002E7CE5"/>
    <w:rsid w:val="00310B54"/>
    <w:rsid w:val="0032380F"/>
    <w:rsid w:val="0032395A"/>
    <w:rsid w:val="003C18C4"/>
    <w:rsid w:val="003D29EA"/>
    <w:rsid w:val="003E70DC"/>
    <w:rsid w:val="00403887"/>
    <w:rsid w:val="00404D07"/>
    <w:rsid w:val="0041337B"/>
    <w:rsid w:val="00420C03"/>
    <w:rsid w:val="00421AF5"/>
    <w:rsid w:val="00433C61"/>
    <w:rsid w:val="004E1EB3"/>
    <w:rsid w:val="004E2E6D"/>
    <w:rsid w:val="004E3BB9"/>
    <w:rsid w:val="00500645"/>
    <w:rsid w:val="005330EB"/>
    <w:rsid w:val="0057390E"/>
    <w:rsid w:val="00574A10"/>
    <w:rsid w:val="0059404C"/>
    <w:rsid w:val="005C661F"/>
    <w:rsid w:val="005F6B85"/>
    <w:rsid w:val="006003B0"/>
    <w:rsid w:val="00630191"/>
    <w:rsid w:val="00632A66"/>
    <w:rsid w:val="006331B8"/>
    <w:rsid w:val="00640F2B"/>
    <w:rsid w:val="006665AB"/>
    <w:rsid w:val="00692E47"/>
    <w:rsid w:val="006D1835"/>
    <w:rsid w:val="006D4857"/>
    <w:rsid w:val="0070108B"/>
    <w:rsid w:val="00734C11"/>
    <w:rsid w:val="00736C69"/>
    <w:rsid w:val="00746606"/>
    <w:rsid w:val="0078655E"/>
    <w:rsid w:val="007B11A2"/>
    <w:rsid w:val="007C1C7D"/>
    <w:rsid w:val="007D7C00"/>
    <w:rsid w:val="007F38C5"/>
    <w:rsid w:val="00802EE7"/>
    <w:rsid w:val="008252E7"/>
    <w:rsid w:val="008633C2"/>
    <w:rsid w:val="008B04D5"/>
    <w:rsid w:val="008C238C"/>
    <w:rsid w:val="008C7968"/>
    <w:rsid w:val="008E13B3"/>
    <w:rsid w:val="008E2919"/>
    <w:rsid w:val="00930CCC"/>
    <w:rsid w:val="00931082"/>
    <w:rsid w:val="00932C53"/>
    <w:rsid w:val="00934DD9"/>
    <w:rsid w:val="00942487"/>
    <w:rsid w:val="00943D0C"/>
    <w:rsid w:val="00966B97"/>
    <w:rsid w:val="009737F1"/>
    <w:rsid w:val="009808DB"/>
    <w:rsid w:val="009B02C1"/>
    <w:rsid w:val="009D1744"/>
    <w:rsid w:val="009D4374"/>
    <w:rsid w:val="00A03814"/>
    <w:rsid w:val="00A21B8F"/>
    <w:rsid w:val="00A936F9"/>
    <w:rsid w:val="00AA45A4"/>
    <w:rsid w:val="00AB613D"/>
    <w:rsid w:val="00AD544D"/>
    <w:rsid w:val="00AE5749"/>
    <w:rsid w:val="00B85672"/>
    <w:rsid w:val="00BA19E1"/>
    <w:rsid w:val="00BA451A"/>
    <w:rsid w:val="00C00C43"/>
    <w:rsid w:val="00C07D87"/>
    <w:rsid w:val="00C368CE"/>
    <w:rsid w:val="00C6305F"/>
    <w:rsid w:val="00D205D3"/>
    <w:rsid w:val="00D32DD2"/>
    <w:rsid w:val="00D37C24"/>
    <w:rsid w:val="00D470A2"/>
    <w:rsid w:val="00D5259C"/>
    <w:rsid w:val="00D8450F"/>
    <w:rsid w:val="00DA6D30"/>
    <w:rsid w:val="00DA6EC7"/>
    <w:rsid w:val="00DB697D"/>
    <w:rsid w:val="00DC1F6F"/>
    <w:rsid w:val="00DC74AA"/>
    <w:rsid w:val="00E2066F"/>
    <w:rsid w:val="00E254D8"/>
    <w:rsid w:val="00E526E2"/>
    <w:rsid w:val="00E55BCC"/>
    <w:rsid w:val="00E7297D"/>
    <w:rsid w:val="00EB3FC6"/>
    <w:rsid w:val="00EB7A32"/>
    <w:rsid w:val="00EC6726"/>
    <w:rsid w:val="00EE1D61"/>
    <w:rsid w:val="00EF51ED"/>
    <w:rsid w:val="00EF54C6"/>
    <w:rsid w:val="00F155FA"/>
    <w:rsid w:val="00F1667C"/>
    <w:rsid w:val="00F206F7"/>
    <w:rsid w:val="00F66082"/>
    <w:rsid w:val="00FA4522"/>
    <w:rsid w:val="00FC41E6"/>
    <w:rsid w:val="00FD6067"/>
    <w:rsid w:val="00FE1A73"/>
    <w:rsid w:val="0B132496"/>
    <w:rsid w:val="0B692EF5"/>
    <w:rsid w:val="0E73087B"/>
    <w:rsid w:val="1C0B55BC"/>
    <w:rsid w:val="2BFC3F28"/>
    <w:rsid w:val="2FD45352"/>
    <w:rsid w:val="32A816B3"/>
    <w:rsid w:val="37B730D2"/>
    <w:rsid w:val="3F1A5874"/>
    <w:rsid w:val="561E2991"/>
    <w:rsid w:val="631F2EBF"/>
    <w:rsid w:val="6AFE170B"/>
    <w:rsid w:val="709C78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line="240" w:lineRule="atLeast"/>
      <w:ind w:left="318"/>
      <w:jc w:val="both"/>
    </w:pPr>
    <w:rPr>
      <w:rFonts w:ascii="Calibri" w:hAnsi="Calibri" w:eastAsia="宋体" w:cs="Times New Roman"/>
      <w:kern w:val="2"/>
      <w:sz w:val="21"/>
      <w:szCs w:val="22"/>
      <w:lang w:val="en-US" w:eastAsia="zh-CN" w:bidi="ar-SA"/>
    </w:rPr>
  </w:style>
  <w:style w:type="paragraph" w:styleId="2">
    <w:name w:val="heading 3"/>
    <w:basedOn w:val="1"/>
    <w:next w:val="1"/>
    <w:link w:val="9"/>
    <w:qFormat/>
    <w:uiPriority w:val="9"/>
    <w:pPr>
      <w:widowControl/>
      <w:spacing w:beforeLines="0" w:beforeAutospacing="1" w:after="100" w:afterAutospacing="1" w:line="240" w:lineRule="auto"/>
      <w:ind w:left="0"/>
      <w:jc w:val="left"/>
      <w:outlineLvl w:val="2"/>
    </w:pPr>
    <w:rPr>
      <w:rFonts w:ascii="宋体" w:hAnsi="宋体" w:cs="宋体"/>
      <w:b/>
      <w:bCs/>
      <w:kern w:val="0"/>
      <w:sz w:val="27"/>
      <w:szCs w:val="27"/>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5">
    <w:name w:val="Normal (Web)"/>
    <w:basedOn w:val="1"/>
    <w:unhideWhenUsed/>
    <w:uiPriority w:val="99"/>
    <w:pPr>
      <w:widowControl/>
      <w:spacing w:beforeLines="0" w:beforeAutospacing="1" w:after="100" w:afterAutospacing="1" w:line="240" w:lineRule="auto"/>
      <w:ind w:left="0"/>
      <w:jc w:val="left"/>
    </w:pPr>
    <w:rPr>
      <w:rFonts w:ascii="宋体" w:hAnsi="宋体" w:cs="宋体"/>
      <w:kern w:val="0"/>
      <w:sz w:val="24"/>
      <w:szCs w:val="24"/>
    </w:rPr>
  </w:style>
  <w:style w:type="paragraph" w:styleId="8">
    <w:name w:val="List Paragraph"/>
    <w:basedOn w:val="1"/>
    <w:unhideWhenUsed/>
    <w:uiPriority w:val="99"/>
    <w:pPr>
      <w:ind w:firstLine="420" w:firstLineChars="200"/>
    </w:pPr>
  </w:style>
  <w:style w:type="character" w:customStyle="1" w:styleId="9">
    <w:name w:val="标题 3 Char"/>
    <w:basedOn w:val="7"/>
    <w:link w:val="2"/>
    <w:uiPriority w:val="9"/>
    <w:rPr>
      <w:rFonts w:ascii="宋体" w:hAnsi="宋体" w:cs="宋体"/>
      <w:b/>
      <w:bCs/>
      <w:sz w:val="27"/>
      <w:szCs w:val="27"/>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3D7939-7DE2-4FF7-B043-E6429BFBF94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1646</Words>
  <Characters>9386</Characters>
  <Lines>78</Lines>
  <Paragraphs>22</Paragraphs>
  <TotalTime>1497</TotalTime>
  <ScaleCrop>false</ScaleCrop>
  <LinksUpToDate>false</LinksUpToDate>
  <CharactersWithSpaces>11010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2020-12-10T06:16:00Z</dcterms:created>
  <dc:creator>华茗设计集团有限公司惠州分公司</dc:creator>
  <cp:lastModifiedBy>Administrator</cp:lastModifiedBy>
  <dcterms:modified xsi:type="dcterms:W3CDTF">2023-07-14T09:03:10Z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13CC2FB4D64F4E789BC00101605DFDAC</vt:lpwstr>
  </property>
</Properties>
</file>