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_GBK" w:hAnsi="方正小标宋_GBK" w:eastAsia="方正小标宋_GBK" w:cs="方正小标宋_GBK"/>
          <w:i w:val="0"/>
          <w:iCs w:val="0"/>
          <w:caps w:val="0"/>
          <w:color w:val="424242"/>
          <w:spacing w:val="0"/>
          <w:sz w:val="44"/>
          <w:szCs w:val="44"/>
        </w:rPr>
      </w:pPr>
      <w:r>
        <w:rPr>
          <w:rStyle w:val="5"/>
          <w:rFonts w:hint="eastAsia" w:ascii="方正小标宋_GBK" w:hAnsi="方正小标宋_GBK" w:eastAsia="方正小标宋_GBK" w:cs="方正小标宋_GBK"/>
          <w:i w:val="0"/>
          <w:iCs w:val="0"/>
          <w:caps w:val="0"/>
          <w:color w:val="424242"/>
          <w:spacing w:val="0"/>
          <w:sz w:val="44"/>
          <w:szCs w:val="44"/>
          <w:shd w:val="clear" w:fill="FFFFFF"/>
        </w:rPr>
        <w:t>惠州大亚湾经济技术开发区管委会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i w:val="0"/>
          <w:iCs w:val="0"/>
          <w:caps w:val="0"/>
          <w:color w:val="424242"/>
          <w:spacing w:val="0"/>
          <w:sz w:val="32"/>
          <w:szCs w:val="32"/>
        </w:rPr>
      </w:pPr>
      <w:r>
        <w:rPr>
          <w:rStyle w:val="5"/>
          <w:rFonts w:hint="eastAsia" w:ascii="方正小标宋_GBK" w:hAnsi="方正小标宋_GBK" w:eastAsia="方正小标宋_GBK" w:cs="方正小标宋_GBK"/>
          <w:i w:val="0"/>
          <w:iCs w:val="0"/>
          <w:caps w:val="0"/>
          <w:color w:val="424242"/>
          <w:spacing w:val="0"/>
          <w:sz w:val="44"/>
          <w:szCs w:val="44"/>
          <w:shd w:val="clear" w:fill="FFFFFF"/>
        </w:rPr>
        <w:t>土地征收启动公告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i w:val="0"/>
          <w:iCs w:val="0"/>
          <w:caps w:val="0"/>
          <w:color w:val="424242"/>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惠湾管〔2021〕3号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_GB2312" w:hAnsi="仿宋_GB2312" w:eastAsia="仿宋_GB2312" w:cs="仿宋_GB2312"/>
          <w:i w:val="0"/>
          <w:iCs w:val="0"/>
          <w:caps w:val="0"/>
          <w:color w:val="424242"/>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　　西区街道办塘布村委及横畲村委辖下各村集体经济组织和农户：</w:t>
      </w:r>
      <w:bookmarkStart w:id="1" w:name="_GoBack"/>
      <w:bookmarkEnd w:id="1"/>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　　为了公共利益的需要，依据《中华人民共和国土地管理法》， 经大亚湾经济技术开发区管理委员会研究决定，现发布土地征收启动公告：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　　</w:t>
      </w:r>
      <w:r>
        <w:rPr>
          <w:rStyle w:val="5"/>
          <w:rFonts w:hint="eastAsia" w:ascii="黑体" w:hAnsi="黑体" w:eastAsia="黑体" w:cs="黑体"/>
          <w:b w:val="0"/>
          <w:bCs/>
          <w:i w:val="0"/>
          <w:iCs w:val="0"/>
          <w:caps w:val="0"/>
          <w:color w:val="424242"/>
          <w:spacing w:val="0"/>
          <w:sz w:val="32"/>
          <w:szCs w:val="32"/>
          <w:shd w:val="clear" w:fill="FFFFFF"/>
        </w:rPr>
        <w:t>一、拟征收土地的位置、范围和面积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　　拟征收地块位于大亚湾开发区西区街道塘布村委及横畲村委会辖下各村民小组所有的集体土地，面积约为1105公顷（暂定），四至范围详见附件《被征地四至红线图》。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　　</w:t>
      </w:r>
      <w:r>
        <w:rPr>
          <w:rStyle w:val="5"/>
          <w:rFonts w:hint="eastAsia" w:ascii="黑体" w:hAnsi="黑体" w:eastAsia="黑体" w:cs="黑体"/>
          <w:b w:val="0"/>
          <w:bCs/>
          <w:i w:val="0"/>
          <w:iCs w:val="0"/>
          <w:caps w:val="0"/>
          <w:color w:val="424242"/>
          <w:spacing w:val="0"/>
          <w:sz w:val="32"/>
          <w:szCs w:val="32"/>
          <w:shd w:val="clear" w:fill="FFFFFF"/>
        </w:rPr>
        <w:t>二、征收土地的征收目的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　　本次拟征收土地用于大亚湾开发区千亿级产业园产业及其配套等项目建设。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　　</w:t>
      </w:r>
      <w:r>
        <w:rPr>
          <w:rStyle w:val="5"/>
          <w:rFonts w:hint="eastAsia" w:ascii="黑体" w:hAnsi="黑体" w:eastAsia="黑体" w:cs="黑体"/>
          <w:b w:val="0"/>
          <w:bCs/>
          <w:i w:val="0"/>
          <w:iCs w:val="0"/>
          <w:caps w:val="0"/>
          <w:color w:val="424242"/>
          <w:spacing w:val="0"/>
          <w:sz w:val="32"/>
          <w:szCs w:val="32"/>
          <w:shd w:val="clear" w:fill="FFFFFF"/>
        </w:rPr>
        <w:t>三、开展土地现状调查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　　拟由大亚湾开发区土地资源主管部门会同西区街道办组织有关单位进行土地现状调查，内容包括拟征收 土地的权属、地类、面积，以及农村村民住宅、其他地上附着物 和青苗等的权属、种类、面积、数量等信息。调查结果将与被征 地农村集体经济组织、农民、青苗和和地上附着物产权人共同确认，请各相关单位和个人相互告知，并予以配合。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Times New Roman" w:hAnsi="Times New Roman" w:eastAsia="仿宋_GB2312" w:cs="仿宋_GB2312"/>
          <w:bCs/>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　　</w:t>
      </w:r>
      <w:r>
        <w:rPr>
          <w:rStyle w:val="5"/>
          <w:rFonts w:hint="eastAsia" w:ascii="黑体" w:hAnsi="黑体" w:eastAsia="黑体" w:cs="黑体"/>
          <w:b w:val="0"/>
          <w:bCs/>
          <w:i w:val="0"/>
          <w:iCs w:val="0"/>
          <w:caps w:val="0"/>
          <w:color w:val="424242"/>
          <w:spacing w:val="0"/>
          <w:sz w:val="32"/>
          <w:szCs w:val="32"/>
          <w:shd w:val="clear" w:fill="FFFFFF"/>
        </w:rPr>
        <w:t>四、其他事项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　　自本公告发布之日起，暂停拟征收土地范围内的建房申请的审批、土地使用权调整和流转等事项。凡在拟征土地上抢栽、抢种、抢建的青苗、地上附着物的，征地时一律不予补偿。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　　特此公告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righ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shd w:val="clear" w:fill="FFFFFF"/>
        </w:rPr>
        <w:t>　　惠州大亚湾经济技术开发区管理委员会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right"/>
        <w:textAlignment w:val="auto"/>
        <w:rPr>
          <w:rFonts w:hint="default" w:ascii="仿宋_GB2312" w:hAnsi="仿宋_GB2312" w:eastAsia="仿宋_GB2312" w:cs="仿宋_GB2312"/>
          <w:i w:val="0"/>
          <w:iCs w:val="0"/>
          <w:caps w:val="0"/>
          <w:color w:val="424242"/>
          <w:spacing w:val="0"/>
          <w:sz w:val="32"/>
          <w:szCs w:val="32"/>
          <w:lang w:val="en-US" w:eastAsia="zh-CN"/>
        </w:rPr>
      </w:pPr>
      <w:r>
        <w:rPr>
          <w:rFonts w:hint="eastAsia" w:ascii="仿宋_GB2312" w:hAnsi="仿宋_GB2312" w:eastAsia="仿宋_GB2312" w:cs="仿宋_GB2312"/>
          <w:i w:val="0"/>
          <w:iCs w:val="0"/>
          <w:caps w:val="0"/>
          <w:color w:val="424242"/>
          <w:spacing w:val="0"/>
          <w:sz w:val="32"/>
          <w:szCs w:val="32"/>
          <w:shd w:val="clear" w:fill="FFFFFF"/>
        </w:rPr>
        <w:t>　　2021年1月13日</w:t>
      </w:r>
      <w:r>
        <w:rPr>
          <w:rFonts w:hint="eastAsia" w:ascii="仿宋_GB2312" w:hAnsi="仿宋_GB2312" w:eastAsia="仿宋_GB2312" w:cs="仿宋_GB2312"/>
          <w:i w:val="0"/>
          <w:iCs w:val="0"/>
          <w:caps w:val="0"/>
          <w:color w:val="424242"/>
          <w:spacing w:val="0"/>
          <w:sz w:val="32"/>
          <w:szCs w:val="32"/>
          <w:shd w:val="clear" w:fill="FFFFFF"/>
          <w:lang w:val="en-US" w:eastAsia="zh-CN"/>
        </w:rPr>
        <w:t xml:space="preserve">        </w:t>
      </w:r>
    </w:p>
    <w:p>
      <w:pPr>
        <w:keepNext w:val="0"/>
        <w:keepLines w:val="0"/>
        <w:pageBreakBefore w:val="0"/>
        <w:kinsoku/>
        <w:overflowPunct/>
        <w:topLinePunct w:val="0"/>
        <w:autoSpaceDE/>
        <w:autoSpaceDN/>
        <w:bidi w:val="0"/>
        <w:adjustRightInd/>
        <w:snapToGrid/>
        <w:spacing w:line="560" w:lineRule="exact"/>
        <w:textAlignment w:val="auto"/>
      </w:pPr>
    </w:p>
    <w:p>
      <w:pPr>
        <w:keepNext w:val="0"/>
        <w:keepLines w:val="0"/>
        <w:pageBreakBefore w:val="0"/>
        <w:kinsoku/>
        <w:overflowPunct/>
        <w:topLinePunct w:val="0"/>
        <w:autoSpaceDE/>
        <w:autoSpaceDN/>
        <w:bidi w:val="0"/>
        <w:adjustRightInd/>
        <w:snapToGrid/>
        <w:spacing w:line="560" w:lineRule="exact"/>
        <w:textAlignment w:val="auto"/>
      </w:pPr>
      <w:r>
        <w:br w:type="page"/>
      </w:r>
    </w:p>
    <w:p>
      <w:pPr>
        <w:keepNext w:val="0"/>
        <w:keepLines w:val="0"/>
        <w:pageBreakBefore w:val="0"/>
        <w:kinsoku/>
        <w:overflowPunct/>
        <w:topLinePunct w:val="0"/>
        <w:autoSpaceDE/>
        <w:autoSpaceDN/>
        <w:bidi w:val="0"/>
        <w:adjustRightInd/>
        <w:snapToGrid/>
        <w:spacing w:line="560" w:lineRule="exact"/>
        <w:textAlignment w:val="auto"/>
      </w:pPr>
      <w:r>
        <w:rPr>
          <w:rFonts w:hint="eastAsia" w:ascii="微软雅黑" w:hAnsi="微软雅黑" w:eastAsia="微软雅黑" w:cs="微软雅黑"/>
          <w:i w:val="0"/>
          <w:iCs w:val="0"/>
          <w:caps w:val="0"/>
          <w:color w:val="000000"/>
          <w:spacing w:val="0"/>
          <w:sz w:val="24"/>
          <w:szCs w:val="24"/>
        </w:rPr>
        <w:drawing>
          <wp:anchor distT="0" distB="0" distL="114300" distR="114300" simplePos="0" relativeHeight="251659264" behindDoc="0" locked="0" layoutInCell="1" allowOverlap="1">
            <wp:simplePos x="0" y="0"/>
            <wp:positionH relativeFrom="column">
              <wp:posOffset>151765</wp:posOffset>
            </wp:positionH>
            <wp:positionV relativeFrom="paragraph">
              <wp:posOffset>1159510</wp:posOffset>
            </wp:positionV>
            <wp:extent cx="5559425" cy="3928110"/>
            <wp:effectExtent l="0" t="0" r="3175" b="15240"/>
            <wp:wrapTopAndBottom/>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559425" cy="3928110"/>
                    </a:xfrm>
                    <a:prstGeom prst="rect">
                      <a:avLst/>
                    </a:prstGeom>
                    <a:noFill/>
                    <a:ln w="9525">
                      <a:noFill/>
                    </a:ln>
                  </pic:spPr>
                </pic:pic>
              </a:graphicData>
            </a:graphic>
          </wp:anchor>
        </w:drawing>
      </w:r>
      <w:bookmarkStart w:id="0" w:name="å¾ç 5"/>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41B80"/>
    <w:rsid w:val="0F5A0EB0"/>
    <w:rsid w:val="12B17FAA"/>
    <w:rsid w:val="18AF200B"/>
    <w:rsid w:val="34F73875"/>
    <w:rsid w:val="3D851ED1"/>
    <w:rsid w:val="42EC4067"/>
    <w:rsid w:val="49BE170B"/>
    <w:rsid w:val="66AE6C06"/>
    <w:rsid w:val="7D3E6F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2023-11-06T04:21:00Z</dcterms:created>
  <dc:creator>lenovo079</dc:creator>
  <cp:lastModifiedBy>零落丶赤染樱</cp:lastModifiedBy>
  <dcterms:modified xsi:type="dcterms:W3CDTF">2023-11-06T04:28:31Z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896E4807291B4507AD59C1037B255578</vt:lpwstr>
  </property>
</Properties>
</file>