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line="240" w:lineRule="auto"/>
        <w:jc w:val="both"/>
        <w:rPr>
          <w:rFonts w:hint="default" w:eastAsia="黑体"/>
          <w:b w:val="0"/>
          <w:bCs/>
          <w:lang w:val="en-US" w:eastAsia="zh-CN"/>
        </w:rPr>
      </w:pPr>
      <w:bookmarkStart w:id="0" w:name="红头"/>
      <w:r>
        <w:rPr>
          <w:rFonts w:hint="eastAsia" w:ascii="黑体" w:hAnsi="黑体" w:eastAsia="黑体" w:cs="宋体"/>
          <w:b w:val="0"/>
          <w:bCs/>
          <w:lang w:val="en-US" w:eastAsia="zh-CN"/>
        </w:rPr>
        <w:t>附件3</w:t>
      </w:r>
      <w:bookmarkStart w:id="1" w:name="_GoBack"/>
      <w:bookmarkEnd w:id="1"/>
    </w:p>
    <w:p>
      <w:pPr>
        <w:spacing w:line="360" w:lineRule="auto"/>
        <w:jc w:val="center"/>
        <w:rPr>
          <w:rFonts w:hint="eastAsia" w:ascii="宋体" w:hAnsi="宋体" w:eastAsia="宋体" w:cs="宋体"/>
          <w:b/>
          <w:bCs/>
          <w:sz w:val="44"/>
          <w:szCs w:val="44"/>
        </w:rPr>
      </w:pPr>
      <w:r>
        <w:rPr>
          <w:rFonts w:hint="eastAsia" w:ascii="宋体" w:hAnsi="宋体" w:eastAsia="宋体" w:cs="宋体"/>
          <w:b/>
          <w:bCs/>
          <w:sz w:val="44"/>
          <w:szCs w:val="44"/>
        </w:rPr>
        <w:t>诊所基本标准（2022年版）</w:t>
      </w:r>
    </w:p>
    <w:p>
      <w:pPr>
        <w:adjustRightInd w:val="0"/>
        <w:snapToGrid w:val="0"/>
        <w:spacing w:line="360" w:lineRule="auto"/>
        <w:jc w:val="center"/>
        <w:rPr>
          <w:rFonts w:ascii="楷体_GB2312" w:hAnsi="楷体_GB2312" w:eastAsia="楷体_GB2312" w:cs="楷体_GB2312"/>
          <w:szCs w:val="32"/>
        </w:rPr>
      </w:pPr>
    </w:p>
    <w:p>
      <w:pPr>
        <w:adjustRightInd w:val="0"/>
        <w:snapToGrid w:val="0"/>
        <w:spacing w:line="360" w:lineRule="auto"/>
        <w:jc w:val="center"/>
        <w:rPr>
          <w:szCs w:val="32"/>
        </w:rPr>
      </w:pPr>
      <w:r>
        <w:rPr>
          <w:rFonts w:hint="eastAsia" w:ascii="黑体" w:hAnsi="黑体" w:eastAsia="黑体"/>
          <w:szCs w:val="32"/>
        </w:rPr>
        <w:t>普通诊所</w:t>
      </w:r>
    </w:p>
    <w:p>
      <w:pPr>
        <w:adjustRightInd w:val="0"/>
        <w:snapToGrid w:val="0"/>
        <w:spacing w:line="360" w:lineRule="auto"/>
        <w:ind w:left="640"/>
        <w:rPr>
          <w:rFonts w:ascii="黑体" w:hAnsi="黑体" w:eastAsia="黑体" w:cs="仿宋_GB2312"/>
          <w:szCs w:val="32"/>
        </w:rPr>
      </w:pPr>
      <w:r>
        <w:rPr>
          <w:rFonts w:hint="eastAsia" w:ascii="黑体" w:hAnsi="黑体" w:eastAsia="黑体" w:cs="仿宋_GB2312"/>
          <w:szCs w:val="32"/>
        </w:rPr>
        <w:t>一、</w:t>
      </w:r>
      <w:r>
        <w:rPr>
          <w:rFonts w:ascii="黑体" w:hAnsi="黑体" w:eastAsia="黑体" w:cs="仿宋_GB2312"/>
          <w:szCs w:val="32"/>
        </w:rPr>
        <w:t>诊疗科目</w:t>
      </w:r>
    </w:p>
    <w:p>
      <w:pPr>
        <w:adjustRightInd w:val="0"/>
        <w:snapToGrid w:val="0"/>
        <w:spacing w:line="360" w:lineRule="auto"/>
        <w:ind w:firstLine="640" w:firstLineChars="200"/>
        <w:rPr>
          <w:rFonts w:ascii="仿宋_GB2312" w:hAnsi="仿宋_GB2312" w:cs="仿宋_GB2312"/>
          <w:szCs w:val="32"/>
        </w:rPr>
      </w:pPr>
      <w:r>
        <w:rPr>
          <w:rFonts w:ascii="仿宋_GB2312" w:hAnsi="仿宋_GB2312" w:cs="仿宋_GB2312"/>
          <w:szCs w:val="32"/>
        </w:rPr>
        <w:t>诊疗</w:t>
      </w:r>
      <w:r>
        <w:rPr>
          <w:rFonts w:hint="eastAsia" w:ascii="仿宋_GB2312" w:hAnsi="仿宋_GB2312" w:cs="仿宋_GB2312"/>
          <w:szCs w:val="32"/>
        </w:rPr>
        <w:t>科目</w:t>
      </w:r>
      <w:r>
        <w:rPr>
          <w:rFonts w:ascii="仿宋_GB2312" w:hAnsi="仿宋_GB2312" w:cs="仿宋_GB2312"/>
          <w:szCs w:val="32"/>
        </w:rPr>
        <w:t>应当与注册于该诊所执业医师的执业范围相一致。</w:t>
      </w:r>
    </w:p>
    <w:p>
      <w:pPr>
        <w:widowControl/>
        <w:adjustRightInd w:val="0"/>
        <w:snapToGrid w:val="0"/>
        <w:spacing w:line="360" w:lineRule="auto"/>
        <w:ind w:firstLine="624"/>
        <w:rPr>
          <w:rFonts w:ascii="黑体" w:hAnsi="黑体" w:eastAsia="黑体"/>
          <w:szCs w:val="32"/>
        </w:rPr>
      </w:pPr>
      <w:r>
        <w:rPr>
          <w:rFonts w:hint="eastAsia" w:ascii="黑体" w:hAnsi="黑体" w:eastAsia="黑体"/>
          <w:szCs w:val="32"/>
        </w:rPr>
        <w:t>二、人员</w:t>
      </w:r>
    </w:p>
    <w:p>
      <w:pPr>
        <w:adjustRightInd w:val="0"/>
        <w:snapToGrid w:val="0"/>
        <w:spacing w:line="360" w:lineRule="auto"/>
        <w:ind w:firstLine="640" w:firstLineChars="200"/>
        <w:rPr>
          <w:rFonts w:ascii="仿宋_GB2312"/>
          <w:szCs w:val="32"/>
        </w:rPr>
      </w:pPr>
      <w:r>
        <w:rPr>
          <w:rFonts w:hint="eastAsia" w:ascii="仿宋_GB2312" w:hAnsi="仿宋_GB2312" w:cs="仿宋_GB2312"/>
          <w:szCs w:val="32"/>
        </w:rPr>
        <w:t>（一）</w:t>
      </w:r>
      <w:r>
        <w:rPr>
          <w:rFonts w:hint="eastAsia" w:ascii="仿宋_GB2312"/>
          <w:szCs w:val="32"/>
        </w:rPr>
        <w:t>诊所从业人员需身体健康，能够胜任相关工作。</w:t>
      </w:r>
    </w:p>
    <w:p>
      <w:pPr>
        <w:widowControl/>
        <w:adjustRightInd w:val="0"/>
        <w:snapToGrid w:val="0"/>
        <w:spacing w:line="360" w:lineRule="auto"/>
        <w:ind w:firstLine="624"/>
        <w:rPr>
          <w:rFonts w:ascii="微软雅黑" w:hAnsi="微软雅黑" w:eastAsia="微软雅黑" w:cs="宋体"/>
          <w:color w:val="222222"/>
          <w:kern w:val="0"/>
          <w:szCs w:val="21"/>
        </w:rPr>
      </w:pPr>
      <w:r>
        <w:rPr>
          <w:rFonts w:hint="eastAsia" w:ascii="仿宋_GB2312" w:hAnsi="仿宋_GB2312" w:cs="仿宋_GB2312"/>
          <w:szCs w:val="32"/>
        </w:rPr>
        <w:t>（二）每一诊疗科目下至少有1名医师</w:t>
      </w:r>
      <w:r>
        <w:rPr>
          <w:rFonts w:hint="eastAsia" w:ascii="仿宋_GB2312" w:hAnsi="宋体" w:cs="仿宋_GB2312"/>
          <w:color w:val="000000"/>
          <w:szCs w:val="32"/>
        </w:rPr>
        <w:t>经注册后在医疗卫生机构中执业满五年</w:t>
      </w:r>
      <w:r>
        <w:rPr>
          <w:rFonts w:hint="eastAsia" w:ascii="仿宋_GB2312" w:hAnsi="仿宋_GB2312" w:cs="仿宋_GB2312"/>
          <w:szCs w:val="32"/>
        </w:rPr>
        <w:t>。</w:t>
      </w:r>
    </w:p>
    <w:p>
      <w:pPr>
        <w:adjustRightInd w:val="0"/>
        <w:snapToGrid w:val="0"/>
        <w:spacing w:line="360" w:lineRule="auto"/>
        <w:ind w:firstLine="640" w:firstLineChars="200"/>
        <w:rPr>
          <w:rFonts w:ascii="仿宋_GB2312"/>
          <w:szCs w:val="32"/>
        </w:rPr>
      </w:pPr>
      <w:r>
        <w:rPr>
          <w:rFonts w:hint="eastAsia" w:ascii="仿宋_GB2312" w:hAnsi="仿宋_GB2312" w:cs="仿宋_GB2312"/>
          <w:szCs w:val="32"/>
        </w:rPr>
        <w:t>（三）至少有1名注册护士。</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（四）设医技科室的，每</w:t>
      </w:r>
      <w:r>
        <w:rPr>
          <w:rFonts w:ascii="仿宋_GB2312" w:hAnsi="仿宋_GB2312" w:cs="仿宋_GB2312"/>
          <w:szCs w:val="32"/>
        </w:rPr>
        <w:t>个</w:t>
      </w:r>
      <w:r>
        <w:rPr>
          <w:rFonts w:hint="eastAsia" w:ascii="仿宋_GB2312" w:hAnsi="仿宋_GB2312" w:cs="仿宋_GB2312"/>
          <w:szCs w:val="32"/>
        </w:rPr>
        <w:t>医技科室至少有1名相应专业的卫生技术人员。</w:t>
      </w:r>
    </w:p>
    <w:p>
      <w:pPr>
        <w:widowControl/>
        <w:adjustRightInd w:val="0"/>
        <w:snapToGrid w:val="0"/>
        <w:spacing w:line="360" w:lineRule="auto"/>
        <w:ind w:firstLine="624"/>
        <w:rPr>
          <w:rFonts w:ascii="黑体" w:hAnsi="黑体" w:eastAsia="黑体" w:cs="宋体"/>
          <w:color w:val="222222"/>
          <w:kern w:val="0"/>
          <w:szCs w:val="21"/>
        </w:rPr>
      </w:pPr>
      <w:r>
        <w:rPr>
          <w:rFonts w:hint="eastAsia" w:ascii="黑体" w:hAnsi="黑体" w:eastAsia="黑体" w:cs="宋体"/>
          <w:color w:val="222222"/>
          <w:kern w:val="0"/>
          <w:szCs w:val="32"/>
        </w:rPr>
        <w:t>三、房屋</w:t>
      </w:r>
    </w:p>
    <w:p>
      <w:pPr>
        <w:widowControl/>
        <w:adjustRightInd w:val="0"/>
        <w:snapToGrid w:val="0"/>
        <w:spacing w:line="360" w:lineRule="auto"/>
        <w:ind w:firstLine="624"/>
        <w:rPr>
          <w:rFonts w:ascii="微软雅黑" w:hAnsi="微软雅黑" w:eastAsia="微软雅黑" w:cs="宋体"/>
          <w:color w:val="222222"/>
          <w:kern w:val="0"/>
          <w:szCs w:val="21"/>
        </w:rPr>
      </w:pPr>
      <w:r>
        <w:rPr>
          <w:rFonts w:hint="eastAsia" w:ascii="仿宋_GB2312" w:hAnsi="微软雅黑" w:cs="宋体"/>
          <w:color w:val="222222"/>
          <w:kern w:val="0"/>
          <w:szCs w:val="32"/>
        </w:rPr>
        <w:t>（一）建筑面积不少于40 平方米。</w:t>
      </w:r>
    </w:p>
    <w:p>
      <w:pPr>
        <w:widowControl/>
        <w:adjustRightInd w:val="0"/>
        <w:snapToGrid w:val="0"/>
        <w:spacing w:line="360" w:lineRule="auto"/>
        <w:ind w:firstLine="624"/>
        <w:rPr>
          <w:rFonts w:ascii="微软雅黑" w:hAnsi="微软雅黑" w:eastAsia="微软雅黑" w:cs="宋体"/>
          <w:color w:val="222222"/>
          <w:kern w:val="0"/>
          <w:szCs w:val="21"/>
        </w:rPr>
      </w:pPr>
      <w:r>
        <w:rPr>
          <w:rFonts w:hint="eastAsia" w:ascii="仿宋_GB2312" w:hAnsi="微软雅黑" w:cs="宋体"/>
          <w:color w:val="222222"/>
          <w:kern w:val="0"/>
          <w:szCs w:val="32"/>
        </w:rPr>
        <w:t>（二）至少设有诊室、治疗室、处置室。</w:t>
      </w:r>
    </w:p>
    <w:p>
      <w:pPr>
        <w:widowControl/>
        <w:adjustRightInd w:val="0"/>
        <w:snapToGrid w:val="0"/>
        <w:spacing w:line="360" w:lineRule="auto"/>
        <w:ind w:firstLine="624"/>
        <w:rPr>
          <w:rFonts w:ascii="仿宋_GB2312" w:hAnsi="微软雅黑" w:cs="宋体"/>
          <w:color w:val="222222"/>
          <w:kern w:val="0"/>
          <w:szCs w:val="32"/>
        </w:rPr>
      </w:pPr>
      <w:r>
        <w:rPr>
          <w:rFonts w:hint="eastAsia" w:ascii="仿宋_GB2312" w:hAnsi="微软雅黑" w:cs="宋体"/>
          <w:color w:val="222222"/>
          <w:kern w:val="0"/>
          <w:szCs w:val="32"/>
        </w:rPr>
        <w:t>（三）每室独立且符合卫生学布局及流程，充分满足诊疗科目医疗需求。其中治疗室、处置室的使用面积均不少于10 平方米；如设观察室，其使用面积不少于15平方米。</w:t>
      </w:r>
    </w:p>
    <w:p>
      <w:pPr>
        <w:widowControl/>
        <w:adjustRightInd w:val="0"/>
        <w:snapToGrid w:val="0"/>
        <w:spacing w:line="360" w:lineRule="auto"/>
        <w:ind w:firstLine="624"/>
        <w:rPr>
          <w:rFonts w:ascii="黑体" w:hAnsi="黑体" w:eastAsia="黑体" w:cs="宋体"/>
          <w:color w:val="222222"/>
          <w:kern w:val="0"/>
          <w:szCs w:val="21"/>
        </w:rPr>
      </w:pPr>
      <w:r>
        <w:rPr>
          <w:rFonts w:hint="eastAsia" w:ascii="黑体" w:hAnsi="黑体" w:eastAsia="黑体" w:cs="宋体"/>
          <w:color w:val="222222"/>
          <w:kern w:val="0"/>
          <w:szCs w:val="32"/>
        </w:rPr>
        <w:t>四、设备</w:t>
      </w:r>
    </w:p>
    <w:p>
      <w:pPr>
        <w:adjustRightInd w:val="0"/>
        <w:snapToGrid w:val="0"/>
        <w:spacing w:line="360" w:lineRule="auto"/>
        <w:ind w:firstLine="640" w:firstLineChars="200"/>
        <w:rPr>
          <w:rFonts w:ascii="楷体_GB2312" w:eastAsia="楷体_GB2312"/>
          <w:b/>
          <w:bCs/>
          <w:szCs w:val="32"/>
        </w:rPr>
      </w:pPr>
      <w:r>
        <w:rPr>
          <w:rFonts w:hint="eastAsia" w:ascii="楷体_GB2312" w:eastAsia="楷体_GB2312"/>
          <w:szCs w:val="32"/>
        </w:rPr>
        <w:t>（一）基本设备。</w:t>
      </w:r>
      <w:r>
        <w:rPr>
          <w:rFonts w:hint="eastAsia" w:ascii="仿宋_GB2312"/>
          <w:szCs w:val="32"/>
        </w:rPr>
        <w:t>诊桌、诊椅、诊察床/诊察凳、方盘、纱布罐、听诊器、血压计、体温表、压舌板、药品柜、紫外线消毒灯、污物桶、高压灭菌设备、处置台等。</w:t>
      </w:r>
    </w:p>
    <w:p>
      <w:pPr>
        <w:adjustRightInd w:val="0"/>
        <w:snapToGrid w:val="0"/>
        <w:spacing w:line="360" w:lineRule="auto"/>
        <w:ind w:firstLine="640" w:firstLineChars="200"/>
        <w:rPr>
          <w:rFonts w:ascii="仿宋_GB2312"/>
          <w:szCs w:val="32"/>
        </w:rPr>
      </w:pPr>
      <w:r>
        <w:rPr>
          <w:rFonts w:hint="eastAsia" w:ascii="楷体_GB2312" w:eastAsia="楷体_GB2312"/>
          <w:szCs w:val="32"/>
        </w:rPr>
        <w:t>（二）急救设备。</w:t>
      </w:r>
      <w:r>
        <w:rPr>
          <w:rFonts w:hint="eastAsia" w:ascii="仿宋_GB2312"/>
          <w:szCs w:val="32"/>
        </w:rPr>
        <w:t>氧气瓶（袋）、开口器、牙垫、口腔通气道、人工呼吸器等。</w:t>
      </w:r>
    </w:p>
    <w:p>
      <w:pPr>
        <w:widowControl/>
        <w:adjustRightInd w:val="0"/>
        <w:snapToGrid w:val="0"/>
        <w:spacing w:line="360" w:lineRule="auto"/>
        <w:ind w:firstLine="624"/>
        <w:rPr>
          <w:rFonts w:ascii="微软雅黑" w:hAnsi="微软雅黑" w:eastAsia="微软雅黑" w:cs="宋体"/>
          <w:color w:val="222222"/>
          <w:kern w:val="0"/>
          <w:szCs w:val="21"/>
        </w:rPr>
      </w:pPr>
      <w:r>
        <w:rPr>
          <w:rFonts w:hint="eastAsia" w:ascii="楷体_GB2312" w:eastAsia="楷体_GB2312"/>
          <w:szCs w:val="32"/>
        </w:rPr>
        <w:t>（三</w:t>
      </w:r>
      <w:r>
        <w:rPr>
          <w:rFonts w:hint="eastAsia" w:ascii="楷体_GB2312" w:hAnsi="Calibri" w:eastAsia="楷体_GB2312"/>
          <w:szCs w:val="32"/>
        </w:rPr>
        <w:t>）</w:t>
      </w:r>
      <w:r>
        <w:rPr>
          <w:rFonts w:hint="eastAsia" w:ascii="楷体_GB2312" w:hAnsi="Calibri" w:eastAsia="楷体_GB2312"/>
          <w:color w:val="222222"/>
          <w:szCs w:val="32"/>
        </w:rPr>
        <w:t>有与开展的诊疗科目相应的其他设备。</w:t>
      </w:r>
      <w:r>
        <w:rPr>
          <w:rFonts w:hint="eastAsia" w:ascii="仿宋_GB2312"/>
          <w:szCs w:val="32"/>
        </w:rPr>
        <w:t>其中，医学检验、医学影像、病理、消毒供应等与其他医疗机构签订相关服务协议、由其他机构提供服务的，可不配备相关设备。</w:t>
      </w:r>
    </w:p>
    <w:p>
      <w:pPr>
        <w:adjustRightInd w:val="0"/>
        <w:snapToGrid w:val="0"/>
        <w:spacing w:line="360" w:lineRule="auto"/>
        <w:ind w:firstLine="640" w:firstLineChars="200"/>
        <w:rPr>
          <w:rFonts w:ascii="仿宋_GB2312"/>
          <w:szCs w:val="32"/>
        </w:rPr>
      </w:pPr>
      <w:r>
        <w:rPr>
          <w:rFonts w:hint="eastAsia" w:ascii="仿宋_GB2312" w:hAnsi="Calibri"/>
          <w:szCs w:val="32"/>
        </w:rPr>
        <w:t>五、</w:t>
      </w:r>
      <w:r>
        <w:rPr>
          <w:rFonts w:hint="eastAsia" w:ascii="仿宋_GB2312"/>
          <w:szCs w:val="32"/>
        </w:rPr>
        <w:t>具有国家统一规定的各项规章制度和技术操作规范，制定诊所人员岗位职责。</w:t>
      </w:r>
    </w:p>
    <w:p>
      <w:pPr>
        <w:adjustRightInd w:val="0"/>
        <w:snapToGrid w:val="0"/>
        <w:spacing w:line="360" w:lineRule="auto"/>
        <w:ind w:firstLine="640" w:firstLineChars="200"/>
        <w:rPr>
          <w:rFonts w:ascii="仿宋_GB2312"/>
          <w:szCs w:val="32"/>
        </w:rPr>
      </w:pPr>
      <w:r>
        <w:rPr>
          <w:rFonts w:hint="eastAsia" w:ascii="仿宋_GB2312" w:hAnsi="Calibri"/>
          <w:szCs w:val="32"/>
        </w:rPr>
        <w:t>六、具备</w:t>
      </w:r>
      <w:r>
        <w:rPr>
          <w:rFonts w:hint="eastAsia" w:ascii="仿宋_GB2312"/>
          <w:szCs w:val="32"/>
        </w:rPr>
        <w:t>门诊电子病历系统，与所在地诊所信息化监管平台对接。</w:t>
      </w:r>
    </w:p>
    <w:p>
      <w:pPr>
        <w:widowControl/>
        <w:adjustRightInd w:val="0"/>
        <w:snapToGrid w:val="0"/>
        <w:spacing w:line="360" w:lineRule="auto"/>
        <w:ind w:firstLine="640" w:firstLineChars="200"/>
        <w:rPr>
          <w:rFonts w:hint="eastAsia" w:ascii="仿宋_GB2312"/>
          <w:szCs w:val="32"/>
        </w:rPr>
      </w:pPr>
      <w:r>
        <w:rPr>
          <w:rFonts w:hint="eastAsia" w:ascii="仿宋_GB2312" w:hAnsi="Calibri"/>
          <w:szCs w:val="32"/>
        </w:rPr>
        <w:t>七、医</w:t>
      </w:r>
      <w:r>
        <w:rPr>
          <w:rFonts w:hint="eastAsia" w:ascii="仿宋_GB2312"/>
          <w:szCs w:val="32"/>
        </w:rPr>
        <w:t>疗美容诊所在符合上述标准基础上，还应当符合《美容医疗机构、医疗美容科（室）基本标准（试行）》等文件要求。</w:t>
      </w:r>
    </w:p>
    <w:p>
      <w:pPr>
        <w:widowControl/>
        <w:adjustRightInd w:val="0"/>
        <w:snapToGrid w:val="0"/>
        <w:spacing w:line="360" w:lineRule="auto"/>
        <w:rPr>
          <w:rFonts w:ascii="仿宋_GB2312" w:hAnsi="仿宋_GB2312" w:cs="仿宋_GB2312"/>
          <w:color w:val="000000"/>
          <w:kern w:val="0"/>
          <w:szCs w:val="32"/>
        </w:rPr>
      </w:pPr>
    </w:p>
    <w:p>
      <w:pPr>
        <w:widowControl/>
        <w:adjustRightInd w:val="0"/>
        <w:snapToGrid w:val="0"/>
        <w:spacing w:line="360" w:lineRule="auto"/>
        <w:jc w:val="center"/>
        <w:rPr>
          <w:rFonts w:ascii="仿宋_GB2312" w:hAnsi="仿宋_GB2312" w:cs="仿宋_GB2312"/>
          <w:color w:val="000000"/>
          <w:kern w:val="0"/>
          <w:szCs w:val="32"/>
        </w:rPr>
      </w:pPr>
      <w:r>
        <w:rPr>
          <w:rFonts w:hint="eastAsia" w:ascii="黑体" w:hAnsi="黑体" w:eastAsia="黑体"/>
          <w:szCs w:val="32"/>
        </w:rPr>
        <w:t>口腔诊所</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一、</w:t>
      </w:r>
      <w:r>
        <w:rPr>
          <w:rFonts w:ascii="黑体" w:hAnsi="黑体" w:eastAsia="黑体"/>
          <w:color w:val="000000"/>
          <w:szCs w:val="32"/>
        </w:rPr>
        <w:t>诊疗</w:t>
      </w:r>
      <w:r>
        <w:rPr>
          <w:rFonts w:hint="eastAsia" w:ascii="黑体" w:hAnsi="黑体" w:eastAsia="黑体"/>
          <w:color w:val="000000"/>
          <w:szCs w:val="32"/>
        </w:rPr>
        <w:t>科目</w:t>
      </w:r>
    </w:p>
    <w:p>
      <w:pPr>
        <w:adjustRightInd w:val="0"/>
        <w:snapToGrid w:val="0"/>
        <w:spacing w:line="360" w:lineRule="auto"/>
        <w:ind w:firstLine="640" w:firstLineChars="200"/>
        <w:rPr>
          <w:rFonts w:ascii="仿宋_GB2312"/>
          <w:color w:val="000000"/>
          <w:szCs w:val="32"/>
        </w:rPr>
      </w:pPr>
      <w:r>
        <w:rPr>
          <w:rFonts w:ascii="仿宋_GB2312"/>
          <w:color w:val="000000"/>
          <w:szCs w:val="32"/>
        </w:rPr>
        <w:t>诊疗</w:t>
      </w:r>
      <w:r>
        <w:rPr>
          <w:rFonts w:hint="eastAsia" w:ascii="仿宋_GB2312"/>
          <w:color w:val="000000"/>
          <w:szCs w:val="32"/>
        </w:rPr>
        <w:t>科目</w:t>
      </w:r>
      <w:r>
        <w:rPr>
          <w:rFonts w:ascii="仿宋_GB2312"/>
          <w:color w:val="000000"/>
          <w:szCs w:val="32"/>
        </w:rPr>
        <w:t>应当与注册于该诊所执业医师的执业范围相一致</w:t>
      </w:r>
      <w:r>
        <w:rPr>
          <w:rFonts w:hint="eastAsia" w:ascii="仿宋_GB2312"/>
          <w:color w:val="000000"/>
          <w:szCs w:val="32"/>
        </w:rPr>
        <w:t>。</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二、口腔综合治疗台</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至少设口腔综合治疗台1台。</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三、人员</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诊所从业人员需身体健康，能够胜任相关工作</w:t>
      </w:r>
      <w:r>
        <w:rPr>
          <w:rFonts w:ascii="仿宋_GB2312"/>
          <w:color w:val="000000"/>
          <w:szCs w:val="32"/>
        </w:rPr>
        <w:t>。</w:t>
      </w:r>
    </w:p>
    <w:p>
      <w:pPr>
        <w:adjustRightInd w:val="0"/>
        <w:snapToGrid w:val="0"/>
        <w:spacing w:line="360" w:lineRule="auto"/>
        <w:ind w:firstLine="640" w:firstLineChars="200"/>
        <w:rPr>
          <w:rFonts w:ascii="楷体_GB2312" w:eastAsia="楷体_GB2312"/>
          <w:szCs w:val="32"/>
        </w:rPr>
      </w:pPr>
      <w:r>
        <w:rPr>
          <w:rFonts w:hint="eastAsia" w:ascii="楷体_GB2312" w:eastAsia="楷体_GB2312"/>
          <w:szCs w:val="32"/>
        </w:rPr>
        <w:t>（一）医师。</w:t>
      </w:r>
    </w:p>
    <w:p>
      <w:pPr>
        <w:adjustRightInd w:val="0"/>
        <w:snapToGrid w:val="0"/>
        <w:spacing w:line="360" w:lineRule="auto"/>
        <w:ind w:firstLine="640" w:firstLineChars="200"/>
        <w:rPr>
          <w:rFonts w:ascii="仿宋_GB2312" w:hAnsi="仿宋_GB2312" w:cs="仿宋_GB2312"/>
          <w:szCs w:val="32"/>
        </w:rPr>
      </w:pPr>
      <w:r>
        <w:rPr>
          <w:rFonts w:hint="eastAsia" w:ascii="仿宋_GB2312"/>
          <w:color w:val="000000"/>
          <w:szCs w:val="32"/>
        </w:rPr>
        <w:t>1．至少有1名医师取</w:t>
      </w:r>
      <w:r>
        <w:rPr>
          <w:rFonts w:hint="eastAsia" w:ascii="仿宋_GB2312" w:hAnsi="仿宋_GB2312" w:cs="仿宋_GB2312"/>
          <w:szCs w:val="32"/>
        </w:rPr>
        <w:t>得口腔类别执业医师资格，经注册后在医疗卫生机构中执业满五年。</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2．每增设2台口腔综合治疗台，至少增加1名口腔医师。</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3．设4台以上口腔综合治疗台的，至少有1名具有口腔主治医师以上专业技术职务任职资格的人员。</w:t>
      </w:r>
    </w:p>
    <w:p>
      <w:pPr>
        <w:adjustRightInd w:val="0"/>
        <w:snapToGrid w:val="0"/>
        <w:spacing w:line="360" w:lineRule="auto"/>
        <w:ind w:firstLine="640" w:firstLineChars="200"/>
        <w:rPr>
          <w:rFonts w:ascii="楷体_GB2312" w:eastAsia="楷体_GB2312"/>
          <w:szCs w:val="32"/>
        </w:rPr>
      </w:pPr>
      <w:r>
        <w:rPr>
          <w:rFonts w:hint="eastAsia" w:ascii="楷体_GB2312" w:eastAsia="楷体_GB2312"/>
          <w:szCs w:val="32"/>
        </w:rPr>
        <w:t>（二）护士。</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1．至少有1名注册护士。</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2．每增加3台口腔综合治疗台，至少增加1名注册护士。</w:t>
      </w:r>
    </w:p>
    <w:p>
      <w:pPr>
        <w:adjustRightInd w:val="0"/>
        <w:snapToGrid w:val="0"/>
        <w:spacing w:line="360" w:lineRule="auto"/>
        <w:ind w:firstLine="640" w:firstLineChars="200"/>
        <w:rPr>
          <w:rFonts w:ascii="黑体" w:hAnsi="黑体" w:eastAsia="黑体"/>
          <w:color w:val="000000"/>
          <w:szCs w:val="32"/>
        </w:rPr>
      </w:pPr>
      <w:r>
        <w:rPr>
          <w:rFonts w:ascii="黑体" w:hAnsi="黑体" w:eastAsia="黑体"/>
          <w:color w:val="000000"/>
          <w:szCs w:val="32"/>
        </w:rPr>
        <w:t>四</w:t>
      </w:r>
      <w:r>
        <w:rPr>
          <w:rFonts w:hint="eastAsia" w:ascii="黑体" w:hAnsi="黑体" w:eastAsia="黑体"/>
          <w:color w:val="000000"/>
          <w:szCs w:val="32"/>
        </w:rPr>
        <w:t>、房屋</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（一）设1台口腔综合治疗台的，建筑面积不少于30平方米；设2台以上口腔综合治疗台的，每台建筑面积不少于25平方米。</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（二）诊室中每口腔综合治疗台净使用面积不少于9平方米。</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（三）房屋设置要符合卫生学布局及流程，充分满足医疗需求。</w:t>
      </w:r>
    </w:p>
    <w:p>
      <w:pPr>
        <w:adjustRightInd w:val="0"/>
        <w:snapToGrid w:val="0"/>
        <w:spacing w:line="360" w:lineRule="auto"/>
        <w:ind w:firstLine="640" w:firstLineChars="200"/>
        <w:rPr>
          <w:rFonts w:ascii="黑体" w:hAnsi="黑体" w:eastAsia="黑体"/>
          <w:color w:val="000000"/>
          <w:szCs w:val="32"/>
        </w:rPr>
      </w:pPr>
      <w:r>
        <w:rPr>
          <w:rFonts w:ascii="黑体" w:hAnsi="黑体" w:eastAsia="黑体"/>
          <w:color w:val="000000"/>
          <w:szCs w:val="32"/>
        </w:rPr>
        <w:t>五</w:t>
      </w:r>
      <w:r>
        <w:rPr>
          <w:rFonts w:hint="eastAsia" w:ascii="黑体" w:hAnsi="黑体" w:eastAsia="黑体"/>
          <w:color w:val="000000"/>
          <w:szCs w:val="32"/>
        </w:rPr>
        <w:t>、设备</w:t>
      </w:r>
    </w:p>
    <w:p>
      <w:pPr>
        <w:adjustRightInd w:val="0"/>
        <w:snapToGrid w:val="0"/>
        <w:spacing w:line="360" w:lineRule="auto"/>
        <w:ind w:firstLine="640" w:firstLineChars="200"/>
        <w:rPr>
          <w:rFonts w:ascii="仿宋_GB2312"/>
          <w:color w:val="000000"/>
          <w:szCs w:val="32"/>
        </w:rPr>
      </w:pPr>
      <w:r>
        <w:rPr>
          <w:rFonts w:hint="eastAsia" w:ascii="楷体_GB2312" w:eastAsia="楷体_GB2312"/>
          <w:szCs w:val="32"/>
        </w:rPr>
        <w:t>（一）基本设备。</w:t>
      </w:r>
      <w:r>
        <w:rPr>
          <w:rFonts w:hint="eastAsia" w:ascii="仿宋_GB2312"/>
          <w:color w:val="000000"/>
          <w:szCs w:val="32"/>
        </w:rPr>
        <w:t xml:space="preserve">光固化灯、超声洁治器、空气净化设备、高压灭菌设备等。 </w:t>
      </w:r>
    </w:p>
    <w:p>
      <w:pPr>
        <w:adjustRightInd w:val="0"/>
        <w:snapToGrid w:val="0"/>
        <w:spacing w:line="360" w:lineRule="auto"/>
        <w:ind w:firstLine="640" w:firstLineChars="200"/>
        <w:rPr>
          <w:rFonts w:ascii="仿宋_GB2312"/>
          <w:color w:val="000000"/>
          <w:szCs w:val="32"/>
        </w:rPr>
      </w:pPr>
      <w:r>
        <w:rPr>
          <w:rFonts w:hint="eastAsia" w:ascii="楷体_GB2312" w:eastAsia="楷体_GB2312"/>
          <w:szCs w:val="32"/>
        </w:rPr>
        <w:t>（二）急救设备。</w:t>
      </w:r>
      <w:r>
        <w:rPr>
          <w:rFonts w:hint="eastAsia" w:ascii="仿宋_GB2312"/>
          <w:color w:val="000000"/>
          <w:szCs w:val="32"/>
        </w:rPr>
        <w:t>氧气瓶（袋）、开口器、牙垫、口腔通气道、人工呼吸器等。</w:t>
      </w:r>
    </w:p>
    <w:p>
      <w:pPr>
        <w:adjustRightInd w:val="0"/>
        <w:snapToGrid w:val="0"/>
        <w:spacing w:line="360" w:lineRule="auto"/>
        <w:ind w:firstLine="640" w:firstLineChars="200"/>
        <w:jc w:val="left"/>
        <w:rPr>
          <w:rFonts w:hint="eastAsia" w:ascii="仿宋_GB2312"/>
          <w:color w:val="000000"/>
          <w:szCs w:val="32"/>
        </w:rPr>
      </w:pPr>
      <w:r>
        <w:rPr>
          <w:rFonts w:hint="eastAsia" w:ascii="楷体_GB2312" w:eastAsia="楷体_GB2312"/>
          <w:szCs w:val="32"/>
        </w:rPr>
        <w:t>（三）每口腔综合治疗台单元设备。</w:t>
      </w:r>
      <w:r>
        <w:rPr>
          <w:rFonts w:hint="eastAsia" w:ascii="仿宋_GB2312"/>
          <w:color w:val="000000"/>
          <w:szCs w:val="32"/>
        </w:rPr>
        <w:t xml:space="preserve">牙科治疗椅（附手术灯1个、痰盂1个、器械盘1个）1台，高速和低速牙科切割装置1套，吸唾装置1套，三用喷枪1支，医师座椅1张，病历书写桌1张，口腔检查器械1套。诊疗器械符合一人一用一消毒配置。                 </w:t>
      </w:r>
      <w:r>
        <w:rPr>
          <w:rFonts w:hint="eastAsia" w:ascii="仿宋_GB2312"/>
          <w:color w:val="000000"/>
          <w:szCs w:val="32"/>
        </w:rPr>
        <w:tab/>
      </w:r>
      <w:r>
        <w:rPr>
          <w:rFonts w:hint="eastAsia" w:ascii="仿宋_GB2312"/>
          <w:color w:val="000000"/>
          <w:szCs w:val="32"/>
        </w:rPr>
        <w:t xml:space="preserve"> </w:t>
      </w:r>
    </w:p>
    <w:p>
      <w:pPr>
        <w:adjustRightInd w:val="0"/>
        <w:snapToGrid w:val="0"/>
        <w:spacing w:line="360" w:lineRule="auto"/>
        <w:ind w:firstLine="640" w:firstLineChars="200"/>
        <w:jc w:val="left"/>
        <w:rPr>
          <w:rFonts w:ascii="仿宋_GB2312"/>
          <w:color w:val="000000"/>
          <w:szCs w:val="32"/>
        </w:rPr>
      </w:pPr>
      <w:r>
        <w:rPr>
          <w:rFonts w:hint="eastAsia" w:ascii="楷体_GB2312" w:hAnsi="Calibri" w:eastAsia="楷体_GB2312"/>
          <w:szCs w:val="32"/>
        </w:rPr>
        <w:t>（四）有与开展的诊疗科目相应的其他设备。</w:t>
      </w:r>
      <w:r>
        <w:rPr>
          <w:rFonts w:hint="eastAsia" w:ascii="仿宋_GB2312"/>
          <w:szCs w:val="32"/>
        </w:rPr>
        <w:t>其中，医学检验、医学影像、病理、消毒供应等</w:t>
      </w:r>
      <w:r>
        <w:rPr>
          <w:rFonts w:hint="eastAsia" w:ascii="仿宋_GB2312"/>
          <w:color w:val="000000"/>
          <w:szCs w:val="32"/>
        </w:rPr>
        <w:t>与其他医疗机构签订相关服务协议、由其他机构提供服务的，可不配备相关设备。</w:t>
      </w:r>
    </w:p>
    <w:p>
      <w:pPr>
        <w:adjustRightInd w:val="0"/>
        <w:snapToGrid w:val="0"/>
        <w:spacing w:line="360" w:lineRule="auto"/>
        <w:ind w:firstLine="640" w:firstLineChars="200"/>
        <w:rPr>
          <w:rFonts w:hint="eastAsia" w:ascii="仿宋_GB2312" w:hAnsi="Calibri"/>
          <w:color w:val="000000"/>
          <w:szCs w:val="32"/>
        </w:rPr>
      </w:pPr>
      <w:r>
        <w:rPr>
          <w:rFonts w:ascii="仿宋_GB2312" w:hAnsi="Calibri"/>
          <w:color w:val="000000"/>
          <w:szCs w:val="32"/>
        </w:rPr>
        <w:t>六</w:t>
      </w:r>
      <w:r>
        <w:rPr>
          <w:rFonts w:hint="eastAsia" w:ascii="仿宋_GB2312" w:hAnsi="Calibri"/>
          <w:color w:val="000000"/>
          <w:szCs w:val="32"/>
        </w:rPr>
        <w:t>、具有国家统一规定的各项规章制度和技术操作规范，制定诊所人员岗位职责。</w:t>
      </w:r>
    </w:p>
    <w:p>
      <w:pPr>
        <w:adjustRightInd w:val="0"/>
        <w:snapToGrid w:val="0"/>
        <w:spacing w:line="360" w:lineRule="auto"/>
        <w:ind w:firstLine="640" w:firstLineChars="200"/>
        <w:rPr>
          <w:rFonts w:ascii="仿宋_GB2312"/>
          <w:color w:val="000000"/>
          <w:szCs w:val="32"/>
        </w:rPr>
      </w:pPr>
      <w:r>
        <w:rPr>
          <w:rFonts w:ascii="仿宋_GB2312" w:hAnsi="Calibri"/>
          <w:color w:val="000000"/>
          <w:szCs w:val="32"/>
        </w:rPr>
        <w:t>七</w:t>
      </w:r>
      <w:r>
        <w:rPr>
          <w:rFonts w:hint="eastAsia" w:ascii="仿宋_GB2312" w:hAnsi="Calibri"/>
          <w:color w:val="000000"/>
          <w:szCs w:val="32"/>
        </w:rPr>
        <w:t>、具备</w:t>
      </w:r>
      <w:r>
        <w:rPr>
          <w:rFonts w:hint="eastAsia" w:ascii="仿宋_GB2312"/>
          <w:color w:val="000000"/>
          <w:szCs w:val="32"/>
        </w:rPr>
        <w:t>门诊电子病历系统，与所在地诊所信息化监管平台对接。</w:t>
      </w:r>
    </w:p>
    <w:p>
      <w:pPr>
        <w:adjustRightInd w:val="0"/>
        <w:snapToGrid w:val="0"/>
        <w:spacing w:line="360" w:lineRule="auto"/>
      </w:pPr>
    </w:p>
    <w:p>
      <w:pPr>
        <w:adjustRightInd w:val="0"/>
        <w:snapToGrid w:val="0"/>
        <w:spacing w:line="360" w:lineRule="auto"/>
        <w:jc w:val="center"/>
      </w:pPr>
      <w:r>
        <w:rPr>
          <w:rFonts w:hint="eastAsia" w:ascii="黑体" w:hAnsi="黑体" w:eastAsia="黑体"/>
          <w:color w:val="000000"/>
          <w:szCs w:val="32"/>
        </w:rPr>
        <w:t>中医（综合）诊所</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中医（综合）诊所是指以提供中医药门诊诊断和治疗为主的诊所，中医药治疗率不低于85%。</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一、诊疗科目</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中医科、中西医结合科、民族医学科。配备中医（专长）医师的，应当在诊疗科目下明确中医（专长）医师的执业范围。设医技科室的，应当核增相应诊疗科目。</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二、人员</w:t>
      </w:r>
    </w:p>
    <w:p>
      <w:pPr>
        <w:adjustRightInd w:val="0"/>
        <w:snapToGrid w:val="0"/>
        <w:spacing w:line="360" w:lineRule="auto"/>
        <w:ind w:firstLine="640" w:firstLineChars="200"/>
        <w:rPr>
          <w:rFonts w:ascii="黑体" w:hAnsi="黑体" w:eastAsia="黑体" w:cs="仿宋_GB2312"/>
          <w:szCs w:val="32"/>
        </w:rPr>
      </w:pPr>
      <w:r>
        <w:rPr>
          <w:rFonts w:hint="eastAsia" w:ascii="仿宋_GB2312"/>
          <w:color w:val="000000"/>
          <w:szCs w:val="32"/>
        </w:rPr>
        <w:t>（一）</w:t>
      </w:r>
      <w:r>
        <w:rPr>
          <w:rFonts w:hint="eastAsia" w:ascii="仿宋_GB2312"/>
          <w:szCs w:val="32"/>
        </w:rPr>
        <w:t>诊所从业人员需身体健康，能够胜任相关工作</w:t>
      </w:r>
      <w:r>
        <w:rPr>
          <w:rFonts w:hint="eastAsia" w:ascii="仿宋_GB2312"/>
          <w:color w:val="000000"/>
          <w:szCs w:val="32"/>
        </w:rPr>
        <w:t>。</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（二）个人</w:t>
      </w:r>
      <w:r>
        <w:rPr>
          <w:rFonts w:ascii="仿宋_GB2312"/>
          <w:color w:val="000000"/>
          <w:szCs w:val="32"/>
        </w:rPr>
        <w:t>设置</w:t>
      </w:r>
      <w:r>
        <w:rPr>
          <w:rFonts w:hint="eastAsia" w:ascii="仿宋_GB2312"/>
          <w:color w:val="000000"/>
          <w:szCs w:val="32"/>
        </w:rPr>
        <w:t>中医（综合）诊所的，须取得中医类别执业医师资格，</w:t>
      </w:r>
      <w:r>
        <w:rPr>
          <w:rFonts w:hint="eastAsia" w:ascii="仿宋_GB2312" w:hAnsi="仿宋_GB2312" w:cs="仿宋_GB2312"/>
          <w:szCs w:val="32"/>
        </w:rPr>
        <w:t>经注册后在医疗卫生机构中执业满五年。单位</w:t>
      </w:r>
      <w:r>
        <w:rPr>
          <w:rFonts w:ascii="仿宋_GB2312"/>
          <w:color w:val="000000"/>
          <w:szCs w:val="32"/>
        </w:rPr>
        <w:t>设置</w:t>
      </w:r>
      <w:r>
        <w:rPr>
          <w:rFonts w:hint="eastAsia" w:ascii="仿宋_GB2312"/>
          <w:color w:val="000000"/>
          <w:szCs w:val="32"/>
        </w:rPr>
        <w:t>中医（综合）诊所的，诊所主要负责人应当符合上述要求。</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（三）可聘用具有《中医（专长）医师资格证书》，经注册依法执业的医师执业。</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（四）开展中药饮片调剂活动的，至少有1名中药专业技术人员。</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（五）设医技科室的，每医技室至少有1名相应专业的卫生技术人员。</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三、房屋</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诊所的建筑面积不少于40平方米，建筑布局应当满足诊疗科目医疗需求。</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四、设备</w:t>
      </w:r>
    </w:p>
    <w:p>
      <w:pPr>
        <w:adjustRightInd w:val="0"/>
        <w:snapToGrid w:val="0"/>
        <w:spacing w:line="360" w:lineRule="auto"/>
        <w:ind w:firstLine="640" w:firstLineChars="200"/>
        <w:rPr>
          <w:rFonts w:ascii="仿宋_GB2312"/>
          <w:color w:val="000000"/>
          <w:szCs w:val="32"/>
        </w:rPr>
      </w:pPr>
      <w:r>
        <w:rPr>
          <w:rFonts w:hint="eastAsia" w:ascii="楷体_GB2312" w:eastAsia="楷体_GB2312"/>
          <w:color w:val="000000"/>
          <w:szCs w:val="32"/>
        </w:rPr>
        <w:t>（一）基本设备。</w:t>
      </w:r>
      <w:r>
        <w:rPr>
          <w:rFonts w:hint="eastAsia" w:ascii="仿宋_GB2312"/>
          <w:color w:val="000000"/>
          <w:szCs w:val="32"/>
        </w:rPr>
        <w:t>诊桌、诊椅、诊察床/诊察凳、方盘、纱布罐、脉枕、听诊器、血压计、体温计、压舌板、药品柜、高压灭菌设备、处置台、污物桶、紫外线消毒设备等。</w:t>
      </w:r>
    </w:p>
    <w:p>
      <w:pPr>
        <w:adjustRightInd w:val="0"/>
        <w:snapToGrid w:val="0"/>
        <w:spacing w:line="360" w:lineRule="auto"/>
        <w:ind w:firstLine="640" w:firstLineChars="200"/>
        <w:rPr>
          <w:rFonts w:ascii="仿宋_GB2312"/>
          <w:color w:val="000000"/>
          <w:szCs w:val="32"/>
        </w:rPr>
      </w:pPr>
      <w:r>
        <w:rPr>
          <w:rFonts w:hint="eastAsia" w:ascii="楷体_GB2312" w:eastAsia="楷体_GB2312"/>
          <w:color w:val="000000"/>
          <w:szCs w:val="32"/>
        </w:rPr>
        <w:t>（二）</w:t>
      </w:r>
      <w:r>
        <w:rPr>
          <w:rFonts w:hint="eastAsia" w:ascii="仿宋_GB2312"/>
          <w:color w:val="000000"/>
          <w:szCs w:val="32"/>
        </w:rPr>
        <w:t>有与开展诊疗范围相适应的其他设备（包括中医诊疗设备）和必要的急救设备。</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其中，</w:t>
      </w:r>
      <w:r>
        <w:rPr>
          <w:rFonts w:hint="eastAsia" w:ascii="仿宋_GB2312"/>
          <w:szCs w:val="32"/>
        </w:rPr>
        <w:t>医学检验、医学影像、病理、消毒供应等</w:t>
      </w:r>
      <w:r>
        <w:rPr>
          <w:rFonts w:hint="eastAsia" w:ascii="仿宋_GB2312"/>
          <w:color w:val="000000"/>
          <w:szCs w:val="32"/>
        </w:rPr>
        <w:t>与其他医疗机构签订相关服务协议，由其他机构提供服务的，可不配备相关设备。</w:t>
      </w:r>
    </w:p>
    <w:p>
      <w:pPr>
        <w:adjustRightInd w:val="0"/>
        <w:snapToGrid w:val="0"/>
        <w:spacing w:line="360" w:lineRule="auto"/>
        <w:ind w:firstLine="640" w:firstLineChars="200"/>
        <w:rPr>
          <w:rFonts w:hint="eastAsia" w:ascii="仿宋_GB2312" w:hAnsi="Calibri"/>
          <w:color w:val="000000"/>
          <w:szCs w:val="32"/>
        </w:rPr>
      </w:pPr>
      <w:r>
        <w:rPr>
          <w:rFonts w:hint="eastAsia" w:ascii="仿宋_GB2312" w:hAnsi="Calibri"/>
          <w:color w:val="000000"/>
          <w:szCs w:val="32"/>
        </w:rPr>
        <w:t>五、具有国家统一规定的各项规章制度和技术操作规范，制定诊所人员岗位职责。</w:t>
      </w:r>
    </w:p>
    <w:p>
      <w:pPr>
        <w:adjustRightInd w:val="0"/>
        <w:snapToGrid w:val="0"/>
        <w:spacing w:line="360" w:lineRule="auto"/>
        <w:ind w:firstLine="640" w:firstLineChars="200"/>
        <w:rPr>
          <w:rFonts w:ascii="仿宋_GB2312"/>
          <w:szCs w:val="32"/>
        </w:rPr>
      </w:pPr>
      <w:r>
        <w:rPr>
          <w:rFonts w:hint="eastAsia" w:ascii="仿宋_GB2312" w:hAnsi="Calibri"/>
          <w:color w:val="000000"/>
          <w:szCs w:val="32"/>
        </w:rPr>
        <w:t>六、具备门</w:t>
      </w:r>
      <w:r>
        <w:rPr>
          <w:rFonts w:hint="eastAsia" w:ascii="仿宋_GB2312"/>
          <w:szCs w:val="32"/>
        </w:rPr>
        <w:t>诊电子病历系统，与所在地诊所信息化监管平台对接。</w:t>
      </w:r>
    </w:p>
    <w:p>
      <w:pPr>
        <w:adjustRightInd w:val="0"/>
        <w:snapToGrid w:val="0"/>
        <w:spacing w:line="360" w:lineRule="auto"/>
        <w:jc w:val="center"/>
        <w:rPr>
          <w:rFonts w:hint="eastAsia" w:ascii="黑体" w:hAnsi="黑体" w:eastAsia="黑体"/>
          <w:color w:val="000000"/>
          <w:szCs w:val="32"/>
        </w:rPr>
      </w:pPr>
    </w:p>
    <w:p>
      <w:pPr>
        <w:adjustRightInd w:val="0"/>
        <w:snapToGrid w:val="0"/>
        <w:spacing w:line="360" w:lineRule="auto"/>
        <w:jc w:val="center"/>
        <w:rPr>
          <w:rFonts w:ascii="仿宋_GB2312"/>
          <w:color w:val="000000"/>
          <w:szCs w:val="32"/>
        </w:rPr>
      </w:pPr>
      <w:r>
        <w:rPr>
          <w:rFonts w:hint="eastAsia" w:ascii="黑体" w:hAnsi="黑体" w:eastAsia="黑体"/>
          <w:color w:val="000000"/>
          <w:szCs w:val="32"/>
        </w:rPr>
        <w:t>中西医结合诊所</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中西医结合诊所是指使用中西医两种方法为患者提供门诊诊断和治疗的诊所，中医药治疗率不低于60%。</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一、诊疗科目</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中医科、中西医结合科、民族医学科。配备中医（专长）医师的，应当在诊疗科目下明确中医（专长）医师的执业范围。配备西医医师的，应当核增与其执业范围相一致的诊疗科目。设医技科室的，应当核增相应诊疗科目。</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二、人员</w:t>
      </w:r>
    </w:p>
    <w:p>
      <w:pPr>
        <w:adjustRightInd w:val="0"/>
        <w:snapToGrid w:val="0"/>
        <w:spacing w:line="360" w:lineRule="auto"/>
        <w:ind w:firstLine="640" w:firstLineChars="200"/>
        <w:rPr>
          <w:rFonts w:ascii="黑体" w:hAnsi="黑体" w:eastAsia="黑体" w:cs="仿宋_GB2312"/>
          <w:szCs w:val="32"/>
        </w:rPr>
      </w:pPr>
      <w:r>
        <w:rPr>
          <w:rFonts w:hint="eastAsia" w:ascii="仿宋_GB2312"/>
          <w:color w:val="000000"/>
          <w:szCs w:val="32"/>
        </w:rPr>
        <w:t>（一）</w:t>
      </w:r>
      <w:r>
        <w:rPr>
          <w:rFonts w:hint="eastAsia" w:ascii="仿宋_GB2312"/>
          <w:szCs w:val="32"/>
        </w:rPr>
        <w:t>诊所从业人员需身体健康，能够胜任相关工作</w:t>
      </w:r>
      <w:r>
        <w:rPr>
          <w:rFonts w:hint="eastAsia" w:ascii="仿宋_GB2312"/>
          <w:color w:val="000000"/>
          <w:szCs w:val="32"/>
        </w:rPr>
        <w:t>。</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（二）个人</w:t>
      </w:r>
      <w:r>
        <w:rPr>
          <w:rFonts w:ascii="仿宋_GB2312"/>
          <w:color w:val="000000"/>
          <w:szCs w:val="32"/>
        </w:rPr>
        <w:t>设置</w:t>
      </w:r>
      <w:r>
        <w:rPr>
          <w:rFonts w:hint="eastAsia" w:ascii="仿宋_GB2312"/>
          <w:color w:val="000000"/>
          <w:szCs w:val="32"/>
        </w:rPr>
        <w:t>中</w:t>
      </w:r>
      <w:r>
        <w:rPr>
          <w:rFonts w:hint="eastAsia" w:ascii="仿宋_GB2312" w:hAnsi="仿宋_GB2312" w:cs="仿宋_GB2312"/>
          <w:szCs w:val="32"/>
        </w:rPr>
        <w:t>西医结合诊所的，须取得中医类别中西医结合专业执业医师资格，经注册后在医疗卫生机构中执业满五年。单位</w:t>
      </w:r>
      <w:r>
        <w:rPr>
          <w:rFonts w:ascii="仿宋_GB2312" w:hAnsi="仿宋_GB2312" w:cs="仿宋_GB2312"/>
          <w:szCs w:val="32"/>
        </w:rPr>
        <w:t>设置</w:t>
      </w:r>
      <w:r>
        <w:rPr>
          <w:rFonts w:hint="eastAsia" w:ascii="仿宋_GB2312" w:hAnsi="仿宋_GB2312" w:cs="仿宋_GB2312"/>
          <w:szCs w:val="32"/>
        </w:rPr>
        <w:t>中西医结合诊所的，诊所主要负责人应当符合上述</w:t>
      </w:r>
      <w:r>
        <w:rPr>
          <w:rFonts w:hint="eastAsia" w:ascii="仿宋_GB2312"/>
          <w:color w:val="000000"/>
          <w:szCs w:val="32"/>
        </w:rPr>
        <w:t>要求。</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三）可聘用以下三类医师执业：中医类别执业医师；具有《中医(专长)医师资格证书》，经注册依法执业的医师；按照国家有关规定，经培训和考核合格，在执业活动中可以采用与其专业相关的中医药技术方法的西医医师。</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（四）开展中药饮片调剂活动的，至少有1名中药专业技术人员。</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（五）至少配备1名注册护士。</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（六）设医技科室的，每医技室至少有1名相应专业的卫生技术人员。</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三、房屋</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诊所的建筑面积不少于40平方米，建筑布局应当满足诊疗科目医疗需求。</w:t>
      </w:r>
    </w:p>
    <w:p>
      <w:pPr>
        <w:adjustRightInd w:val="0"/>
        <w:snapToGrid w:val="0"/>
        <w:spacing w:line="360" w:lineRule="auto"/>
        <w:ind w:firstLine="640" w:firstLineChars="200"/>
        <w:rPr>
          <w:rFonts w:ascii="黑体" w:hAnsi="黑体" w:eastAsia="黑体"/>
          <w:color w:val="000000"/>
          <w:szCs w:val="32"/>
        </w:rPr>
      </w:pPr>
      <w:r>
        <w:rPr>
          <w:rFonts w:hint="eastAsia" w:ascii="黑体" w:hAnsi="黑体" w:eastAsia="黑体"/>
          <w:color w:val="000000"/>
          <w:szCs w:val="32"/>
        </w:rPr>
        <w:t>四、设备</w:t>
      </w:r>
    </w:p>
    <w:p>
      <w:pPr>
        <w:adjustRightInd w:val="0"/>
        <w:snapToGrid w:val="0"/>
        <w:spacing w:line="360" w:lineRule="auto"/>
        <w:ind w:firstLine="640" w:firstLineChars="200"/>
        <w:rPr>
          <w:rFonts w:ascii="仿宋_GB2312"/>
          <w:color w:val="000000"/>
          <w:szCs w:val="32"/>
        </w:rPr>
      </w:pPr>
      <w:r>
        <w:rPr>
          <w:rFonts w:hint="eastAsia" w:ascii="楷体_GB2312" w:eastAsia="楷体_GB2312"/>
          <w:color w:val="000000"/>
          <w:szCs w:val="32"/>
        </w:rPr>
        <w:t>（一）基本设备。</w:t>
      </w:r>
      <w:r>
        <w:rPr>
          <w:rFonts w:hint="eastAsia" w:ascii="仿宋_GB2312"/>
          <w:color w:val="000000"/>
          <w:szCs w:val="32"/>
        </w:rPr>
        <w:t>诊桌、诊椅、诊察床/诊察凳、方盘、纱布罐、脉枕、听诊器、血压计、体温计、压舌板、药品柜、高压灭菌设备、处置台、污物桶、紫外线消毒设备等。</w:t>
      </w:r>
    </w:p>
    <w:p>
      <w:pPr>
        <w:adjustRightInd w:val="0"/>
        <w:snapToGrid w:val="0"/>
        <w:spacing w:line="360" w:lineRule="auto"/>
        <w:ind w:firstLine="640" w:firstLineChars="200"/>
        <w:rPr>
          <w:rFonts w:ascii="仿宋_GB2312"/>
          <w:color w:val="000000"/>
          <w:szCs w:val="32"/>
        </w:rPr>
      </w:pPr>
      <w:r>
        <w:rPr>
          <w:rFonts w:hint="eastAsia" w:ascii="楷体_GB2312" w:eastAsia="楷体_GB2312"/>
          <w:color w:val="000000"/>
          <w:szCs w:val="32"/>
        </w:rPr>
        <w:t>（二）</w:t>
      </w:r>
      <w:r>
        <w:rPr>
          <w:rFonts w:hint="eastAsia" w:ascii="仿宋_GB2312"/>
          <w:color w:val="000000"/>
          <w:szCs w:val="32"/>
        </w:rPr>
        <w:t>有与开展诊疗范围相适应的其他设备(包括中医诊疗设备)及必要的急救设备。</w:t>
      </w:r>
    </w:p>
    <w:p>
      <w:pPr>
        <w:adjustRightInd w:val="0"/>
        <w:snapToGrid w:val="0"/>
        <w:spacing w:line="360" w:lineRule="auto"/>
        <w:ind w:firstLine="640" w:firstLineChars="200"/>
        <w:rPr>
          <w:rFonts w:ascii="仿宋_GB2312"/>
          <w:color w:val="000000"/>
          <w:szCs w:val="32"/>
        </w:rPr>
      </w:pPr>
      <w:r>
        <w:rPr>
          <w:rFonts w:hint="eastAsia" w:ascii="仿宋_GB2312"/>
          <w:color w:val="000000"/>
          <w:szCs w:val="32"/>
        </w:rPr>
        <w:t>其中，</w:t>
      </w:r>
      <w:r>
        <w:rPr>
          <w:rFonts w:hint="eastAsia" w:ascii="仿宋_GB2312"/>
          <w:szCs w:val="32"/>
        </w:rPr>
        <w:t>医学检验、医学影像、病理、消毒供应等</w:t>
      </w:r>
      <w:r>
        <w:rPr>
          <w:rFonts w:hint="eastAsia" w:ascii="仿宋_GB2312"/>
          <w:color w:val="000000"/>
          <w:szCs w:val="32"/>
        </w:rPr>
        <w:t>与其他医疗机构签订相关服务协议，由其他机构提供服务的，可不配备相关设备。</w:t>
      </w:r>
    </w:p>
    <w:p>
      <w:pPr>
        <w:adjustRightInd w:val="0"/>
        <w:snapToGrid w:val="0"/>
        <w:spacing w:line="360" w:lineRule="auto"/>
        <w:ind w:firstLine="640" w:firstLineChars="200"/>
        <w:rPr>
          <w:rFonts w:hint="eastAsia" w:ascii="仿宋_GB2312" w:hAnsi="Calibri"/>
          <w:color w:val="000000"/>
          <w:szCs w:val="32"/>
        </w:rPr>
      </w:pPr>
      <w:r>
        <w:rPr>
          <w:rFonts w:hint="eastAsia" w:ascii="仿宋_GB2312" w:hAnsi="Calibri"/>
          <w:color w:val="000000"/>
          <w:szCs w:val="32"/>
        </w:rPr>
        <w:t>五、具有国家统一规定的各项规章制度和技术操作规范，制定诊所人员岗位职责。</w:t>
      </w:r>
    </w:p>
    <w:p>
      <w:pPr>
        <w:widowControl/>
        <w:adjustRightInd w:val="0"/>
        <w:snapToGrid w:val="0"/>
        <w:spacing w:line="360" w:lineRule="auto"/>
        <w:ind w:firstLine="640" w:firstLineChars="200"/>
        <w:rPr>
          <w:rFonts w:hint="eastAsia" w:ascii="仿宋_GB2312"/>
          <w:szCs w:val="32"/>
        </w:rPr>
      </w:pPr>
      <w:r>
        <w:rPr>
          <w:rFonts w:hint="eastAsia" w:ascii="仿宋_GB2312" w:hAnsi="Calibri"/>
          <w:color w:val="000000"/>
          <w:szCs w:val="32"/>
        </w:rPr>
        <w:t>六、具备</w:t>
      </w:r>
      <w:r>
        <w:rPr>
          <w:rFonts w:hint="eastAsia" w:ascii="仿宋_GB2312"/>
          <w:szCs w:val="32"/>
        </w:rPr>
        <w:t>门诊电子病历系统，与所在地诊所信息化监管平台对接。</w:t>
      </w:r>
    </w:p>
    <w:p>
      <w:pPr>
        <w:widowControl/>
        <w:adjustRightInd w:val="0"/>
        <w:snapToGrid w:val="0"/>
        <w:spacing w:line="360" w:lineRule="auto"/>
        <w:ind w:firstLine="640" w:firstLineChars="200"/>
        <w:rPr>
          <w:rFonts w:hint="eastAsia" w:ascii="仿宋_GB2312"/>
          <w:szCs w:val="32"/>
        </w:rPr>
      </w:pPr>
    </w:p>
    <w:bookmarkEnd w:id="0"/>
    <w:p>
      <w:pPr>
        <w:spacing w:line="360" w:lineRule="auto"/>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283" w:footer="283"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DejaVu Sans">
    <w:altName w:val="Segoe Print"/>
    <w:panose1 w:val="020B0603030804020204"/>
    <w:charset w:val="00"/>
    <w:family w:val="roman"/>
    <w:pitch w:val="default"/>
    <w:sig w:usb0="E7006EFF" w:usb1="D200FDFF" w:usb2="0A246029" w:usb3="0400200C" w:csb0="600001FF" w:csb1="DFFF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5OTQwNjk2MzBhMzViMDY2NjMwZTljZTBiMTE5NWMifQ=="/>
  </w:docVars>
  <w:rsids>
    <w:rsidRoot w:val="6147A715"/>
    <w:rsid w:val="018E28F1"/>
    <w:rsid w:val="1E0555CB"/>
    <w:rsid w:val="1EB439AF"/>
    <w:rsid w:val="445A4738"/>
    <w:rsid w:val="54CB4007"/>
    <w:rsid w:val="6147A715"/>
    <w:rsid w:val="76F106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Title"/>
    <w:basedOn w:val="1"/>
    <w:next w:val="1"/>
    <w:qFormat/>
    <w:uiPriority w:val="0"/>
    <w:pPr>
      <w:spacing w:before="240" w:beforeLines="0" w:beforeAutospacing="0" w:after="60" w:afterLines="0" w:afterAutospacing="0"/>
      <w:jc w:val="center"/>
      <w:outlineLvl w:val="0"/>
    </w:pPr>
    <w:rPr>
      <w:rFonts w:ascii="DejaVu Sans" w:hAnsi="DejaVu Sans"/>
      <w:b/>
      <w:sz w:val="32"/>
    </w:rPr>
  </w:style>
  <w:style w:type="paragraph" w:styleId="3">
    <w:name w:val="footer"/>
    <w:basedOn w:val="1"/>
    <w:qFormat/>
    <w:uiPriority w:val="99"/>
    <w:pPr>
      <w:tabs>
        <w:tab w:val="center" w:pos="4153"/>
        <w:tab w:val="right" w:pos="8306"/>
      </w:tabs>
      <w:snapToGrid w:val="0"/>
      <w:jc w:val="left"/>
    </w:pPr>
    <w:rPr>
      <w:rFonts w:eastAsia="宋体"/>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eastAsia="宋体"/>
      <w:sz w:val="18"/>
      <w:szCs w:val="18"/>
    </w:rPr>
  </w:style>
  <w:style w:type="paragraph" w:customStyle="1" w:styleId="7">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7464</Words>
  <Characters>7550</Characters>
  <Lines>0</Lines>
  <Paragraphs>0</Paragraphs>
  <TotalTime>4</TotalTime>
  <ScaleCrop>false</ScaleCrop>
  <LinksUpToDate>false</LinksUpToDate>
  <CharactersWithSpaces>7822</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2022-12-23T02:38:00Z</dcterms:created>
  <dc:creator>zhangmj</dc:creator>
  <cp:lastModifiedBy>李旭成</cp:lastModifiedBy>
  <dcterms:modified xsi:type="dcterms:W3CDTF">2023-07-19T04:03:07Z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B5E974187FAC4CBC962A96818CA5A635</vt:lpwstr>
  </property>
</Properties>
</file>