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Lines="0" w:beforeAutospacing="0" w:after="0" w:afterLines="0" w:afterAutospacing="0" w:line="580" w:lineRule="exact"/>
        <w:ind w:right="0"/>
        <w:jc w:val="left"/>
        <w:textAlignment w:val="auto"/>
        <w:rPr>
          <w:rFonts w:hint="eastAsia" w:ascii="黑体" w:hAnsi="黑体" w:eastAsia="黑体" w:cs="黑体"/>
          <w:i w:val="0"/>
          <w:iCs w:val="0"/>
          <w:caps w:val="0"/>
          <w:color w:val="191919"/>
          <w:spacing w:val="0"/>
          <w:sz w:val="32"/>
          <w:szCs w:val="32"/>
          <w:shd w:val="clear" w:color="auto" w:fill="FFFFFF"/>
        </w:rPr>
      </w:pPr>
      <w:r>
        <w:rPr>
          <w:rFonts w:hint="eastAsia" w:ascii="黑体" w:hAnsi="黑体" w:eastAsia="黑体" w:cs="黑体"/>
          <w:i w:val="0"/>
          <w:iCs w:val="0"/>
          <w:caps w:val="0"/>
          <w:color w:val="191919"/>
          <w:spacing w:val="0"/>
          <w:sz w:val="32"/>
          <w:szCs w:val="32"/>
          <w:shd w:val="clear" w:color="auto" w:fill="FFFFFF"/>
        </w:rPr>
        <w:t>附件1：</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Lines="0" w:beforeAutospacing="0" w:after="0" w:afterLines="0" w:afterAutospacing="0" w:line="580" w:lineRule="exact"/>
        <w:ind w:right="0"/>
        <w:jc w:val="center"/>
        <w:textAlignment w:val="auto"/>
        <w:rPr>
          <w:rFonts w:hint="eastAsia" w:ascii="仿宋_GB2312" w:hAnsi="仿宋_GB2312" w:eastAsia="仿宋_GB2312" w:cs="仿宋_GB2312"/>
          <w:b/>
          <w:bCs/>
          <w:spacing w:val="9"/>
          <w:sz w:val="44"/>
          <w:szCs w:val="44"/>
        </w:rPr>
      </w:pP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Lines="0" w:beforeAutospacing="0" w:after="0" w:afterLines="0" w:afterAutospacing="0" w:line="580" w:lineRule="exact"/>
        <w:ind w:right="0"/>
        <w:jc w:val="center"/>
        <w:textAlignment w:val="auto"/>
        <w:rPr>
          <w:rFonts w:hint="eastAsia" w:ascii="仿宋_GB2312" w:hAnsi="仿宋_GB2312" w:eastAsia="仿宋_GB2312" w:cs="仿宋_GB2312"/>
          <w:b/>
          <w:bCs/>
          <w:i w:val="0"/>
          <w:iCs w:val="0"/>
          <w:caps w:val="0"/>
          <w:color w:val="191919"/>
          <w:spacing w:val="0"/>
          <w:sz w:val="44"/>
          <w:szCs w:val="44"/>
          <w:shd w:val="clear" w:color="auto" w:fill="FFFFFF"/>
        </w:rPr>
      </w:pPr>
      <w:bookmarkStart w:id="0" w:name="_GoBack"/>
      <w:r>
        <w:rPr>
          <w:rFonts w:hint="eastAsia" w:ascii="仿宋_GB2312" w:hAnsi="仿宋_GB2312" w:eastAsia="仿宋_GB2312" w:cs="仿宋_GB2312"/>
          <w:b/>
          <w:bCs/>
          <w:spacing w:val="9"/>
          <w:sz w:val="44"/>
          <w:szCs w:val="44"/>
        </w:rPr>
        <w:t>广东省消防安全重点单位界定标准</w:t>
      </w:r>
      <w:bookmarkEnd w:id="0"/>
    </w:p>
    <w:p>
      <w:pPr>
        <w:ind w:firstLine="435"/>
        <w:rPr>
          <w:rFonts w:hint="eastAsia" w:ascii="黑体" w:hAnsi="黑体" w:eastAsia="黑体" w:cs="黑体"/>
          <w:snapToGrid w:val="0"/>
          <w:color w:val="000000"/>
          <w:spacing w:val="6"/>
          <w:kern w:val="0"/>
          <w:sz w:val="31"/>
          <w:szCs w:val="31"/>
          <w:lang w:eastAsia="en-US"/>
        </w:rPr>
      </w:pPr>
    </w:p>
    <w:p>
      <w:pPr>
        <w:ind w:firstLine="435"/>
        <w:rPr>
          <w:rFonts w:hint="eastAsia" w:ascii="仿宋_GB2312" w:hAnsi="仿宋_GB2312" w:eastAsia="仿宋_GB2312" w:cs="仿宋_GB2312"/>
          <w:i w:val="0"/>
          <w:iCs w:val="0"/>
          <w:caps w:val="0"/>
          <w:color w:val="191919"/>
          <w:spacing w:val="0"/>
          <w:sz w:val="32"/>
          <w:szCs w:val="32"/>
          <w:shd w:val="clear" w:color="auto" w:fill="FFFFFF"/>
        </w:rPr>
      </w:pPr>
      <w:r>
        <w:rPr>
          <w:rFonts w:hint="eastAsia" w:ascii="黑体" w:hAnsi="黑体" w:eastAsia="黑体" w:cs="黑体"/>
          <w:snapToGrid w:val="0"/>
          <w:color w:val="000000"/>
          <w:spacing w:val="6"/>
          <w:kern w:val="0"/>
          <w:sz w:val="31"/>
          <w:szCs w:val="31"/>
          <w:lang w:eastAsia="en-US"/>
        </w:rPr>
        <w:t>一、重要公共建筑：</w:t>
      </w:r>
    </w:p>
    <w:p>
      <w:pPr>
        <w:ind w:firstLine="435"/>
        <w:rPr>
          <w:rFonts w:hint="eastAsia" w:ascii="仿宋_GB2312" w:hAnsi="仿宋_GB2312" w:eastAsia="仿宋_GB2312" w:cs="仿宋_GB2312"/>
          <w:i w:val="0"/>
          <w:iCs w:val="0"/>
          <w:caps w:val="0"/>
          <w:color w:val="191919"/>
          <w:spacing w:val="0"/>
          <w:sz w:val="32"/>
          <w:szCs w:val="32"/>
          <w:shd w:val="clear" w:color="auto" w:fill="FFFFFF"/>
        </w:rPr>
      </w:pPr>
      <w:r>
        <w:rPr>
          <w:rFonts w:hint="eastAsia" w:ascii="仿宋_GB2312" w:hAnsi="仿宋_GB2312" w:eastAsia="仿宋_GB2312" w:cs="仿宋_GB2312"/>
          <w:i w:val="0"/>
          <w:iCs w:val="0"/>
          <w:caps w:val="0"/>
          <w:color w:val="191919"/>
          <w:spacing w:val="0"/>
          <w:sz w:val="32"/>
          <w:szCs w:val="32"/>
          <w:shd w:val="clear" w:color="auto" w:fill="FFFFFF"/>
        </w:rPr>
        <w:t>（一）地市级及以上的党委、人大、政府、政协、人民检察院、人民法院。</w:t>
      </w:r>
    </w:p>
    <w:p>
      <w:pPr>
        <w:ind w:firstLine="435"/>
        <w:rPr>
          <w:rFonts w:hint="eastAsia" w:ascii="仿宋_GB2312" w:hAnsi="仿宋_GB2312" w:eastAsia="仿宋_GB2312" w:cs="仿宋_GB2312"/>
          <w:i w:val="0"/>
          <w:iCs w:val="0"/>
          <w:caps w:val="0"/>
          <w:color w:val="191919"/>
          <w:spacing w:val="0"/>
          <w:sz w:val="32"/>
          <w:szCs w:val="32"/>
          <w:shd w:val="clear" w:color="auto" w:fill="FFFFFF"/>
        </w:rPr>
      </w:pPr>
      <w:r>
        <w:rPr>
          <w:rFonts w:hint="eastAsia" w:ascii="仿宋_GB2312" w:hAnsi="仿宋_GB2312" w:eastAsia="仿宋_GB2312" w:cs="仿宋_GB2312"/>
          <w:i w:val="0"/>
          <w:iCs w:val="0"/>
          <w:caps w:val="0"/>
          <w:color w:val="191919"/>
          <w:spacing w:val="0"/>
          <w:sz w:val="32"/>
          <w:szCs w:val="32"/>
          <w:shd w:val="clear" w:color="auto" w:fill="FFFFFF"/>
        </w:rPr>
        <w:t>（二）设计使用人数或座位数超过 1500 人（座）的体育馆、会堂、影剧院、公共娱乐场所、证券交易所等公共室内场所。</w:t>
      </w:r>
    </w:p>
    <w:p>
      <w:pPr>
        <w:ind w:firstLine="435"/>
        <w:rPr>
          <w:rFonts w:hint="eastAsia" w:ascii="仿宋_GB2312" w:hAnsi="仿宋_GB2312" w:eastAsia="仿宋_GB2312" w:cs="仿宋_GB2312"/>
          <w:i w:val="0"/>
          <w:iCs w:val="0"/>
          <w:caps w:val="0"/>
          <w:color w:val="191919"/>
          <w:spacing w:val="0"/>
          <w:sz w:val="32"/>
          <w:szCs w:val="32"/>
          <w:shd w:val="clear" w:color="auto" w:fill="FFFFFF"/>
        </w:rPr>
      </w:pPr>
      <w:r>
        <w:rPr>
          <w:rFonts w:hint="eastAsia" w:ascii="仿宋_GB2312" w:hAnsi="仿宋_GB2312" w:eastAsia="仿宋_GB2312" w:cs="仿宋_GB2312"/>
          <w:i w:val="0"/>
          <w:iCs w:val="0"/>
          <w:caps w:val="0"/>
          <w:color w:val="191919"/>
          <w:spacing w:val="0"/>
          <w:sz w:val="32"/>
          <w:szCs w:val="32"/>
          <w:shd w:val="clear" w:color="auto" w:fill="FFFFFF"/>
        </w:rPr>
        <w:t>（三）藏书量超过 50 万册的图书馆。</w:t>
      </w:r>
    </w:p>
    <w:p>
      <w:pPr>
        <w:ind w:firstLine="435"/>
        <w:rPr>
          <w:rFonts w:hint="eastAsia" w:ascii="仿宋_GB2312" w:hAnsi="仿宋_GB2312" w:eastAsia="仿宋_GB2312" w:cs="仿宋_GB2312"/>
          <w:i w:val="0"/>
          <w:iCs w:val="0"/>
          <w:caps w:val="0"/>
          <w:color w:val="191919"/>
          <w:spacing w:val="0"/>
          <w:sz w:val="32"/>
          <w:szCs w:val="32"/>
          <w:shd w:val="clear" w:color="auto" w:fill="FFFFFF"/>
        </w:rPr>
      </w:pPr>
      <w:r>
        <w:rPr>
          <w:rFonts w:hint="eastAsia" w:ascii="仿宋_GB2312" w:hAnsi="仿宋_GB2312" w:eastAsia="仿宋_GB2312" w:cs="仿宋_GB2312"/>
          <w:i w:val="0"/>
          <w:iCs w:val="0"/>
          <w:caps w:val="0"/>
          <w:color w:val="191919"/>
          <w:spacing w:val="0"/>
          <w:sz w:val="32"/>
          <w:szCs w:val="32"/>
          <w:shd w:val="clear" w:color="auto" w:fill="FFFFFF"/>
        </w:rPr>
        <w:t>（四）地市级及以上，且设有不可移动建筑物的文物保护单位。</w:t>
      </w:r>
    </w:p>
    <w:p>
      <w:pPr>
        <w:ind w:firstLine="435"/>
        <w:rPr>
          <w:rFonts w:hint="eastAsia" w:ascii="仿宋_GB2312" w:hAnsi="仿宋_GB2312" w:eastAsia="仿宋_GB2312" w:cs="仿宋_GB2312"/>
          <w:i w:val="0"/>
          <w:iCs w:val="0"/>
          <w:caps w:val="0"/>
          <w:color w:val="191919"/>
          <w:spacing w:val="0"/>
          <w:sz w:val="32"/>
          <w:szCs w:val="32"/>
          <w:shd w:val="clear" w:color="auto" w:fill="FFFFFF"/>
        </w:rPr>
      </w:pPr>
      <w:r>
        <w:rPr>
          <w:rFonts w:hint="eastAsia" w:ascii="仿宋_GB2312" w:hAnsi="仿宋_GB2312" w:eastAsia="仿宋_GB2312" w:cs="仿宋_GB2312"/>
          <w:i w:val="0"/>
          <w:iCs w:val="0"/>
          <w:caps w:val="0"/>
          <w:color w:val="191919"/>
          <w:spacing w:val="0"/>
          <w:sz w:val="32"/>
          <w:szCs w:val="32"/>
          <w:shd w:val="clear" w:color="auto" w:fill="FFFFFF"/>
        </w:rPr>
        <w:t>（五）地市级及以上博物馆、展览馆、档案馆。</w:t>
      </w:r>
    </w:p>
    <w:p>
      <w:pPr>
        <w:ind w:firstLine="435"/>
        <w:rPr>
          <w:rFonts w:hint="eastAsia" w:ascii="仿宋_GB2312" w:hAnsi="仿宋_GB2312" w:eastAsia="仿宋_GB2312" w:cs="仿宋_GB2312"/>
          <w:i w:val="0"/>
          <w:iCs w:val="0"/>
          <w:caps w:val="0"/>
          <w:color w:val="191919"/>
          <w:spacing w:val="0"/>
          <w:sz w:val="32"/>
          <w:szCs w:val="32"/>
          <w:shd w:val="clear" w:color="auto" w:fill="FFFFFF"/>
        </w:rPr>
      </w:pPr>
      <w:r>
        <w:rPr>
          <w:rFonts w:hint="eastAsia" w:ascii="仿宋_GB2312" w:hAnsi="仿宋_GB2312" w:eastAsia="仿宋_GB2312" w:cs="仿宋_GB2312"/>
          <w:i w:val="0"/>
          <w:iCs w:val="0"/>
          <w:caps w:val="0"/>
          <w:color w:val="191919"/>
          <w:spacing w:val="0"/>
          <w:sz w:val="32"/>
          <w:szCs w:val="32"/>
          <w:shd w:val="clear" w:color="auto" w:fill="FFFFFF"/>
        </w:rPr>
        <w:t>（六）省级及以上的银行等金融机构。</w:t>
      </w:r>
    </w:p>
    <w:p>
      <w:pPr>
        <w:ind w:firstLine="435"/>
        <w:rPr>
          <w:rFonts w:hint="eastAsia" w:ascii="仿宋_GB2312" w:hAnsi="仿宋_GB2312" w:eastAsia="仿宋_GB2312" w:cs="仿宋_GB2312"/>
          <w:i w:val="0"/>
          <w:iCs w:val="0"/>
          <w:caps w:val="0"/>
          <w:color w:val="191919"/>
          <w:spacing w:val="0"/>
          <w:sz w:val="32"/>
          <w:szCs w:val="32"/>
          <w:shd w:val="clear" w:color="auto" w:fill="FFFFFF"/>
        </w:rPr>
      </w:pPr>
      <w:r>
        <w:rPr>
          <w:rFonts w:hint="eastAsia" w:ascii="仿宋_GB2312" w:hAnsi="仿宋_GB2312" w:eastAsia="仿宋_GB2312" w:cs="仿宋_GB2312"/>
          <w:i w:val="0"/>
          <w:iCs w:val="0"/>
          <w:caps w:val="0"/>
          <w:color w:val="191919"/>
          <w:spacing w:val="0"/>
          <w:sz w:val="32"/>
          <w:szCs w:val="32"/>
          <w:shd w:val="clear" w:color="auto" w:fill="FFFFFF"/>
        </w:rPr>
        <w:t>（七）省级及以上的广播电视台。</w:t>
      </w:r>
    </w:p>
    <w:p>
      <w:pPr>
        <w:ind w:firstLine="435"/>
        <w:rPr>
          <w:rFonts w:hint="eastAsia" w:ascii="仿宋_GB2312" w:hAnsi="仿宋_GB2312" w:eastAsia="仿宋_GB2312" w:cs="仿宋_GB2312"/>
          <w:i w:val="0"/>
          <w:iCs w:val="0"/>
          <w:caps w:val="0"/>
          <w:color w:val="191919"/>
          <w:spacing w:val="0"/>
          <w:sz w:val="32"/>
          <w:szCs w:val="32"/>
          <w:shd w:val="clear" w:color="auto" w:fill="FFFFFF"/>
        </w:rPr>
      </w:pPr>
      <w:r>
        <w:rPr>
          <w:rFonts w:hint="eastAsia" w:ascii="仿宋_GB2312" w:hAnsi="仿宋_GB2312" w:eastAsia="仿宋_GB2312" w:cs="仿宋_GB2312"/>
          <w:i w:val="0"/>
          <w:iCs w:val="0"/>
          <w:caps w:val="0"/>
          <w:color w:val="191919"/>
          <w:spacing w:val="0"/>
          <w:sz w:val="32"/>
          <w:szCs w:val="32"/>
          <w:shd w:val="clear" w:color="auto" w:fill="FFFFFF"/>
        </w:rPr>
        <w:t>（八）住宿人数超过 500 人的寄宿制学校。</w:t>
      </w:r>
    </w:p>
    <w:p>
      <w:pPr>
        <w:ind w:firstLine="435"/>
        <w:rPr>
          <w:rFonts w:hint="eastAsia" w:ascii="仿宋_GB2312" w:hAnsi="仿宋_GB2312" w:eastAsia="仿宋_GB2312" w:cs="仿宋_GB2312"/>
          <w:i w:val="0"/>
          <w:iCs w:val="0"/>
          <w:caps w:val="0"/>
          <w:color w:val="191919"/>
          <w:spacing w:val="0"/>
          <w:sz w:val="32"/>
          <w:szCs w:val="32"/>
          <w:shd w:val="clear" w:color="auto" w:fill="FFFFFF"/>
        </w:rPr>
      </w:pPr>
      <w:r>
        <w:rPr>
          <w:rFonts w:hint="eastAsia" w:ascii="仿宋_GB2312" w:hAnsi="仿宋_GB2312" w:eastAsia="仿宋_GB2312" w:cs="仿宋_GB2312"/>
          <w:i w:val="0"/>
          <w:iCs w:val="0"/>
          <w:caps w:val="0"/>
          <w:color w:val="191919"/>
          <w:spacing w:val="0"/>
          <w:sz w:val="32"/>
          <w:szCs w:val="32"/>
          <w:shd w:val="clear" w:color="auto" w:fill="FFFFFF"/>
        </w:rPr>
        <w:t>（九）使用人数超过 200 人的幼儿园、托儿所、残障人员康复设施；</w:t>
      </w:r>
    </w:p>
    <w:p>
      <w:pPr>
        <w:ind w:firstLine="435"/>
        <w:rPr>
          <w:rFonts w:hint="eastAsia" w:ascii="仿宋_GB2312" w:hAnsi="仿宋_GB2312" w:eastAsia="仿宋_GB2312" w:cs="仿宋_GB2312"/>
          <w:i w:val="0"/>
          <w:iCs w:val="0"/>
          <w:caps w:val="0"/>
          <w:color w:val="191919"/>
          <w:spacing w:val="0"/>
          <w:sz w:val="32"/>
          <w:szCs w:val="32"/>
          <w:shd w:val="clear" w:color="auto" w:fill="FFFFFF"/>
        </w:rPr>
      </w:pPr>
      <w:r>
        <w:rPr>
          <w:rFonts w:hint="eastAsia" w:ascii="仿宋_GB2312" w:hAnsi="仿宋_GB2312" w:eastAsia="仿宋_GB2312" w:cs="仿宋_GB2312"/>
          <w:i w:val="0"/>
          <w:iCs w:val="0"/>
          <w:caps w:val="0"/>
          <w:color w:val="191919"/>
          <w:spacing w:val="0"/>
          <w:sz w:val="32"/>
          <w:szCs w:val="32"/>
          <w:shd w:val="clear" w:color="auto" w:fill="FFFFFF"/>
        </w:rPr>
        <w:t>（十）150 张床位及以上的医院、老年人照料设施。</w:t>
      </w:r>
    </w:p>
    <w:p>
      <w:pPr>
        <w:ind w:firstLine="435"/>
        <w:rPr>
          <w:rFonts w:hint="eastAsia" w:ascii="仿宋_GB2312" w:hAnsi="仿宋_GB2312" w:eastAsia="仿宋_GB2312" w:cs="仿宋_GB2312"/>
          <w:i w:val="0"/>
          <w:iCs w:val="0"/>
          <w:caps w:val="0"/>
          <w:color w:val="191919"/>
          <w:spacing w:val="0"/>
          <w:sz w:val="32"/>
          <w:szCs w:val="32"/>
          <w:shd w:val="clear" w:color="auto" w:fill="FFFFFF"/>
        </w:rPr>
      </w:pPr>
      <w:r>
        <w:rPr>
          <w:rFonts w:hint="eastAsia" w:ascii="仿宋_GB2312" w:hAnsi="仿宋_GB2312" w:eastAsia="仿宋_GB2312" w:cs="仿宋_GB2312"/>
          <w:i w:val="0"/>
          <w:iCs w:val="0"/>
          <w:caps w:val="0"/>
          <w:color w:val="191919"/>
          <w:spacing w:val="0"/>
          <w:sz w:val="32"/>
          <w:szCs w:val="32"/>
          <w:shd w:val="clear" w:color="auto" w:fill="FFFFFF"/>
        </w:rPr>
        <w:t>（十一）地下轨道交通车辆段、基地、控制中心和 2 条线路及以上的换乘枢纽站点。</w:t>
      </w:r>
    </w:p>
    <w:p>
      <w:pPr>
        <w:ind w:firstLine="435"/>
        <w:rPr>
          <w:rFonts w:hint="eastAsia" w:ascii="黑体" w:hAnsi="黑体" w:eastAsia="黑体" w:cs="黑体"/>
          <w:snapToGrid w:val="0"/>
          <w:color w:val="000000"/>
          <w:spacing w:val="6"/>
          <w:kern w:val="0"/>
          <w:sz w:val="31"/>
          <w:szCs w:val="31"/>
          <w:lang w:eastAsia="en-US"/>
        </w:rPr>
      </w:pPr>
      <w:r>
        <w:rPr>
          <w:rFonts w:hint="eastAsia" w:ascii="黑体" w:hAnsi="黑体" w:eastAsia="黑体" w:cs="黑体"/>
          <w:snapToGrid w:val="0"/>
          <w:color w:val="000000"/>
          <w:spacing w:val="6"/>
          <w:kern w:val="0"/>
          <w:sz w:val="31"/>
          <w:szCs w:val="31"/>
          <w:lang w:eastAsia="en-US"/>
        </w:rPr>
        <w:t>二、其他公共建筑：</w:t>
      </w:r>
    </w:p>
    <w:p>
      <w:pPr>
        <w:ind w:firstLine="435"/>
        <w:rPr>
          <w:rFonts w:hint="eastAsia" w:ascii="仿宋_GB2312" w:hAnsi="仿宋_GB2312" w:eastAsia="仿宋_GB2312" w:cs="仿宋_GB2312"/>
          <w:i w:val="0"/>
          <w:iCs w:val="0"/>
          <w:caps w:val="0"/>
          <w:color w:val="191919"/>
          <w:spacing w:val="0"/>
          <w:sz w:val="32"/>
          <w:szCs w:val="32"/>
          <w:shd w:val="clear" w:color="auto" w:fill="FFFFFF"/>
        </w:rPr>
      </w:pPr>
      <w:r>
        <w:rPr>
          <w:rFonts w:hint="eastAsia" w:ascii="仿宋_GB2312" w:hAnsi="仿宋_GB2312" w:eastAsia="仿宋_GB2312" w:cs="仿宋_GB2312"/>
          <w:i w:val="0"/>
          <w:iCs w:val="0"/>
          <w:caps w:val="0"/>
          <w:color w:val="191919"/>
          <w:spacing w:val="0"/>
          <w:sz w:val="32"/>
          <w:szCs w:val="32"/>
          <w:shd w:val="clear" w:color="auto" w:fill="FFFFFF"/>
        </w:rPr>
        <w:t>（十二）一类高层公共建筑。</w:t>
      </w:r>
    </w:p>
    <w:p>
      <w:pPr>
        <w:ind w:firstLine="435"/>
        <w:rPr>
          <w:rFonts w:hint="eastAsia" w:ascii="仿宋_GB2312" w:hAnsi="仿宋_GB2312" w:eastAsia="仿宋_GB2312" w:cs="仿宋_GB2312"/>
          <w:i w:val="0"/>
          <w:iCs w:val="0"/>
          <w:caps w:val="0"/>
          <w:color w:val="191919"/>
          <w:spacing w:val="0"/>
          <w:sz w:val="32"/>
          <w:szCs w:val="32"/>
          <w:shd w:val="clear" w:color="auto" w:fill="FFFFFF"/>
        </w:rPr>
      </w:pPr>
      <w:r>
        <w:rPr>
          <w:rFonts w:hint="eastAsia" w:ascii="仿宋_GB2312" w:hAnsi="仿宋_GB2312" w:eastAsia="仿宋_GB2312" w:cs="仿宋_GB2312"/>
          <w:i w:val="0"/>
          <w:iCs w:val="0"/>
          <w:caps w:val="0"/>
          <w:color w:val="191919"/>
          <w:spacing w:val="0"/>
          <w:sz w:val="32"/>
          <w:szCs w:val="32"/>
          <w:shd w:val="clear" w:color="auto" w:fill="FFFFFF"/>
        </w:rPr>
        <w:t>（十三）任一层建筑面积大于 1500 平方米或总建筑面积大于 3000 平方米的商店（商场）建筑（包含但不限于商业综合体、步行街、商店、市场、商业综合楼等）。</w:t>
      </w:r>
    </w:p>
    <w:p>
      <w:pPr>
        <w:ind w:firstLine="435"/>
        <w:rPr>
          <w:rFonts w:hint="eastAsia" w:ascii="仿宋_GB2312" w:hAnsi="仿宋_GB2312" w:eastAsia="仿宋_GB2312" w:cs="仿宋_GB2312"/>
          <w:i w:val="0"/>
          <w:iCs w:val="0"/>
          <w:caps w:val="0"/>
          <w:color w:val="191919"/>
          <w:spacing w:val="0"/>
          <w:sz w:val="32"/>
          <w:szCs w:val="32"/>
          <w:shd w:val="clear" w:color="auto" w:fill="FFFFFF"/>
        </w:rPr>
      </w:pPr>
      <w:r>
        <w:rPr>
          <w:rFonts w:hint="eastAsia" w:ascii="仿宋_GB2312" w:hAnsi="仿宋_GB2312" w:eastAsia="仿宋_GB2312" w:cs="仿宋_GB2312"/>
          <w:i w:val="0"/>
          <w:iCs w:val="0"/>
          <w:caps w:val="0"/>
          <w:color w:val="191919"/>
          <w:spacing w:val="0"/>
          <w:sz w:val="32"/>
          <w:szCs w:val="32"/>
          <w:shd w:val="clear" w:color="auto" w:fill="FFFFFF"/>
        </w:rPr>
        <w:t>（十四）任一层建筑面积大于 1500 平方米或总面积大于3000 平方米的宾馆。</w:t>
      </w:r>
    </w:p>
    <w:p>
      <w:pPr>
        <w:ind w:firstLine="435"/>
        <w:rPr>
          <w:rFonts w:hint="eastAsia" w:ascii="仿宋_GB2312" w:hAnsi="仿宋_GB2312" w:eastAsia="仿宋_GB2312" w:cs="仿宋_GB2312"/>
          <w:i w:val="0"/>
          <w:iCs w:val="0"/>
          <w:caps w:val="0"/>
          <w:color w:val="191919"/>
          <w:spacing w:val="0"/>
          <w:sz w:val="32"/>
          <w:szCs w:val="32"/>
          <w:shd w:val="clear" w:color="auto" w:fill="FFFFFF"/>
        </w:rPr>
      </w:pPr>
      <w:r>
        <w:rPr>
          <w:rFonts w:hint="eastAsia" w:ascii="仿宋_GB2312" w:hAnsi="仿宋_GB2312" w:eastAsia="仿宋_GB2312" w:cs="仿宋_GB2312"/>
          <w:i w:val="0"/>
          <w:iCs w:val="0"/>
          <w:caps w:val="0"/>
          <w:color w:val="191919"/>
          <w:spacing w:val="0"/>
          <w:sz w:val="32"/>
          <w:szCs w:val="32"/>
          <w:shd w:val="clear" w:color="auto" w:fill="FFFFFF"/>
        </w:rPr>
        <w:t>（十五）任一层建筑面积大于 1500 平方米或总建筑面积大于 3000 平方米的餐饮场所（饭店）。</w:t>
      </w:r>
    </w:p>
    <w:p>
      <w:pPr>
        <w:ind w:firstLine="435"/>
        <w:rPr>
          <w:rFonts w:hint="eastAsia" w:ascii="仿宋_GB2312" w:hAnsi="仿宋_GB2312" w:eastAsia="仿宋_GB2312" w:cs="仿宋_GB2312"/>
          <w:i w:val="0"/>
          <w:iCs w:val="0"/>
          <w:caps w:val="0"/>
          <w:color w:val="191919"/>
          <w:spacing w:val="0"/>
          <w:sz w:val="32"/>
          <w:szCs w:val="32"/>
          <w:shd w:val="clear" w:color="auto" w:fill="FFFFFF"/>
        </w:rPr>
      </w:pPr>
      <w:r>
        <w:rPr>
          <w:rFonts w:hint="eastAsia" w:ascii="仿宋_GB2312" w:hAnsi="仿宋_GB2312" w:eastAsia="仿宋_GB2312" w:cs="仿宋_GB2312"/>
          <w:i w:val="0"/>
          <w:iCs w:val="0"/>
          <w:caps w:val="0"/>
          <w:color w:val="191919"/>
          <w:spacing w:val="0"/>
          <w:sz w:val="32"/>
          <w:szCs w:val="32"/>
          <w:shd w:val="clear" w:color="auto" w:fill="FFFFFF"/>
        </w:rPr>
        <w:t>（十六）候车厅、候船厅任一层建筑面积大于 1500 平方米或总建筑面积大于 3000 平方米的客运车站和客运码头；</w:t>
      </w:r>
    </w:p>
    <w:p>
      <w:pPr>
        <w:ind w:firstLine="435"/>
        <w:rPr>
          <w:rFonts w:hint="eastAsia" w:ascii="仿宋_GB2312" w:hAnsi="仿宋_GB2312" w:eastAsia="仿宋_GB2312" w:cs="仿宋_GB2312"/>
          <w:i w:val="0"/>
          <w:iCs w:val="0"/>
          <w:caps w:val="0"/>
          <w:color w:val="191919"/>
          <w:spacing w:val="0"/>
          <w:sz w:val="32"/>
          <w:szCs w:val="32"/>
          <w:shd w:val="clear" w:color="auto" w:fill="FFFFFF"/>
        </w:rPr>
      </w:pPr>
      <w:r>
        <w:rPr>
          <w:rFonts w:hint="eastAsia" w:ascii="仿宋_GB2312" w:hAnsi="仿宋_GB2312" w:eastAsia="仿宋_GB2312" w:cs="仿宋_GB2312"/>
          <w:i w:val="0"/>
          <w:iCs w:val="0"/>
          <w:caps w:val="0"/>
          <w:color w:val="191919"/>
          <w:spacing w:val="0"/>
          <w:sz w:val="32"/>
          <w:szCs w:val="32"/>
          <w:shd w:val="clear" w:color="auto" w:fill="FFFFFF"/>
        </w:rPr>
        <w:t>（十七） 民用机场。</w:t>
      </w:r>
    </w:p>
    <w:p>
      <w:pPr>
        <w:ind w:firstLine="435"/>
        <w:rPr>
          <w:rFonts w:hint="eastAsia" w:ascii="仿宋_GB2312" w:hAnsi="仿宋_GB2312" w:eastAsia="仿宋_GB2312" w:cs="仿宋_GB2312"/>
          <w:i w:val="0"/>
          <w:iCs w:val="0"/>
          <w:caps w:val="0"/>
          <w:color w:val="191919"/>
          <w:spacing w:val="0"/>
          <w:sz w:val="32"/>
          <w:szCs w:val="32"/>
          <w:shd w:val="clear" w:color="auto" w:fill="FFFFFF"/>
        </w:rPr>
      </w:pPr>
      <w:r>
        <w:rPr>
          <w:rFonts w:hint="eastAsia" w:ascii="仿宋_GB2312" w:hAnsi="仿宋_GB2312" w:eastAsia="仿宋_GB2312" w:cs="仿宋_GB2312"/>
          <w:i w:val="0"/>
          <w:iCs w:val="0"/>
          <w:caps w:val="0"/>
          <w:color w:val="191919"/>
          <w:spacing w:val="0"/>
          <w:sz w:val="32"/>
          <w:szCs w:val="32"/>
          <w:shd w:val="clear" w:color="auto" w:fill="FFFFFF"/>
        </w:rPr>
        <w:t>（十八）建筑面积大于 1500 平方米的城镇邮政、通信枢纽单位。</w:t>
      </w:r>
    </w:p>
    <w:p>
      <w:pPr>
        <w:ind w:firstLine="435"/>
        <w:rPr>
          <w:rFonts w:hint="eastAsia" w:ascii="仿宋_GB2312" w:hAnsi="仿宋_GB2312" w:eastAsia="仿宋_GB2312" w:cs="仿宋_GB2312"/>
          <w:i w:val="0"/>
          <w:iCs w:val="0"/>
          <w:caps w:val="0"/>
          <w:color w:val="191919"/>
          <w:spacing w:val="0"/>
          <w:sz w:val="32"/>
          <w:szCs w:val="32"/>
          <w:shd w:val="clear" w:color="auto" w:fill="FFFFFF"/>
        </w:rPr>
      </w:pPr>
      <w:r>
        <w:rPr>
          <w:rFonts w:hint="eastAsia" w:ascii="仿宋_GB2312" w:hAnsi="仿宋_GB2312" w:eastAsia="仿宋_GB2312" w:cs="仿宋_GB2312"/>
          <w:i w:val="0"/>
          <w:iCs w:val="0"/>
          <w:caps w:val="0"/>
          <w:color w:val="191919"/>
          <w:spacing w:val="0"/>
          <w:sz w:val="32"/>
          <w:szCs w:val="32"/>
          <w:shd w:val="clear" w:color="auto" w:fill="FFFFFF"/>
        </w:rPr>
        <w:t>（十九）国家和省级重点工程施工现场。</w:t>
      </w:r>
    </w:p>
    <w:p>
      <w:pPr>
        <w:ind w:firstLine="435"/>
        <w:rPr>
          <w:rFonts w:hint="eastAsia" w:ascii="仿宋_GB2312" w:hAnsi="仿宋_GB2312" w:eastAsia="仿宋_GB2312" w:cs="仿宋_GB2312"/>
          <w:i w:val="0"/>
          <w:iCs w:val="0"/>
          <w:caps w:val="0"/>
          <w:color w:val="191919"/>
          <w:spacing w:val="0"/>
          <w:sz w:val="32"/>
          <w:szCs w:val="32"/>
          <w:shd w:val="clear" w:color="auto" w:fill="FFFFFF"/>
        </w:rPr>
      </w:pPr>
      <w:r>
        <w:rPr>
          <w:rFonts w:hint="eastAsia" w:ascii="仿宋_GB2312" w:hAnsi="仿宋_GB2312" w:eastAsia="仿宋_GB2312" w:cs="仿宋_GB2312"/>
          <w:i w:val="0"/>
          <w:iCs w:val="0"/>
          <w:caps w:val="0"/>
          <w:color w:val="191919"/>
          <w:spacing w:val="0"/>
          <w:sz w:val="32"/>
          <w:szCs w:val="32"/>
          <w:shd w:val="clear" w:color="auto" w:fill="FFFFFF"/>
        </w:rPr>
        <w:t>（二十）部属、省属科研单位</w:t>
      </w:r>
    </w:p>
    <w:p>
      <w:pPr>
        <w:ind w:firstLine="435"/>
        <w:rPr>
          <w:rFonts w:hint="eastAsia" w:ascii="仿宋_GB2312" w:hAnsi="仿宋_GB2312" w:eastAsia="仿宋_GB2312" w:cs="仿宋_GB2312"/>
          <w:i w:val="0"/>
          <w:iCs w:val="0"/>
          <w:caps w:val="0"/>
          <w:color w:val="191919"/>
          <w:spacing w:val="0"/>
          <w:sz w:val="32"/>
          <w:szCs w:val="32"/>
          <w:shd w:val="clear" w:color="auto" w:fill="FFFFFF"/>
        </w:rPr>
      </w:pPr>
      <w:r>
        <w:rPr>
          <w:rFonts w:hint="eastAsia" w:ascii="仿宋_GB2312" w:hAnsi="仿宋_GB2312" w:eastAsia="仿宋_GB2312" w:cs="仿宋_GB2312"/>
          <w:i w:val="0"/>
          <w:iCs w:val="0"/>
          <w:caps w:val="0"/>
          <w:color w:val="191919"/>
          <w:spacing w:val="0"/>
          <w:sz w:val="32"/>
          <w:szCs w:val="32"/>
          <w:shd w:val="clear" w:color="auto" w:fill="FFFFFF"/>
        </w:rPr>
        <w:t>（二十一）建筑面积在 3000 平方米以上的大型游客服务中心、大型高速公路服务区；</w:t>
      </w:r>
    </w:p>
    <w:p>
      <w:pPr>
        <w:ind w:firstLine="435"/>
        <w:rPr>
          <w:rFonts w:hint="eastAsia" w:ascii="仿宋_GB2312" w:hAnsi="仿宋_GB2312" w:eastAsia="仿宋_GB2312" w:cs="仿宋_GB2312"/>
          <w:i w:val="0"/>
          <w:iCs w:val="0"/>
          <w:caps w:val="0"/>
          <w:color w:val="191919"/>
          <w:spacing w:val="0"/>
          <w:sz w:val="32"/>
          <w:szCs w:val="32"/>
          <w:shd w:val="clear" w:color="auto" w:fill="FFFFFF"/>
        </w:rPr>
      </w:pPr>
      <w:r>
        <w:rPr>
          <w:rFonts w:hint="eastAsia" w:ascii="仿宋_GB2312" w:hAnsi="仿宋_GB2312" w:eastAsia="仿宋_GB2312" w:cs="仿宋_GB2312"/>
          <w:i w:val="0"/>
          <w:iCs w:val="0"/>
          <w:caps w:val="0"/>
          <w:color w:val="191919"/>
          <w:spacing w:val="0"/>
          <w:sz w:val="32"/>
          <w:szCs w:val="32"/>
          <w:shd w:val="clear" w:color="auto" w:fill="FFFFFF"/>
        </w:rPr>
        <w:t>（二十二）监狱和司法行政戒毒所</w:t>
      </w:r>
    </w:p>
    <w:p>
      <w:pPr>
        <w:ind w:firstLine="435"/>
        <w:rPr>
          <w:rFonts w:hint="eastAsia" w:ascii="黑体" w:hAnsi="黑体" w:eastAsia="黑体" w:cs="黑体"/>
          <w:snapToGrid w:val="0"/>
          <w:color w:val="000000"/>
          <w:spacing w:val="6"/>
          <w:kern w:val="0"/>
          <w:sz w:val="31"/>
          <w:szCs w:val="31"/>
          <w:lang w:eastAsia="en-US"/>
        </w:rPr>
      </w:pPr>
      <w:r>
        <w:rPr>
          <w:rFonts w:hint="eastAsia" w:ascii="黑体" w:hAnsi="黑体" w:eastAsia="黑体" w:cs="黑体"/>
          <w:snapToGrid w:val="0"/>
          <w:color w:val="000000"/>
          <w:spacing w:val="6"/>
          <w:kern w:val="0"/>
          <w:sz w:val="31"/>
          <w:szCs w:val="31"/>
          <w:lang w:eastAsia="en-US"/>
        </w:rPr>
        <w:t>三、工业建筑：</w:t>
      </w:r>
    </w:p>
    <w:p>
      <w:pPr>
        <w:ind w:firstLine="435"/>
        <w:rPr>
          <w:rFonts w:hint="eastAsia" w:ascii="仿宋_GB2312" w:hAnsi="仿宋_GB2312" w:eastAsia="仿宋_GB2312" w:cs="仿宋_GB2312"/>
          <w:i w:val="0"/>
          <w:iCs w:val="0"/>
          <w:caps w:val="0"/>
          <w:color w:val="191919"/>
          <w:spacing w:val="0"/>
          <w:sz w:val="32"/>
          <w:szCs w:val="32"/>
          <w:shd w:val="clear" w:color="auto" w:fill="FFFFFF"/>
        </w:rPr>
      </w:pPr>
      <w:r>
        <w:rPr>
          <w:rFonts w:hint="eastAsia" w:ascii="仿宋_GB2312" w:hAnsi="仿宋_GB2312" w:eastAsia="仿宋_GB2312" w:cs="仿宋_GB2312"/>
          <w:i w:val="0"/>
          <w:iCs w:val="0"/>
          <w:caps w:val="0"/>
          <w:color w:val="191919"/>
          <w:spacing w:val="0"/>
          <w:sz w:val="32"/>
          <w:szCs w:val="32"/>
          <w:shd w:val="clear" w:color="auto" w:fill="FFFFFF"/>
        </w:rPr>
        <w:t>（二十三）装机容量 200MW 以上的火力发电厂，电压 220kv 以上的地区变电站、换流站，二级以上国家电网公司，设区的市级以上电力调度中心。</w:t>
      </w:r>
    </w:p>
    <w:p>
      <w:pPr>
        <w:ind w:firstLine="435"/>
        <w:rPr>
          <w:rFonts w:hint="eastAsia" w:ascii="仿宋_GB2312" w:hAnsi="仿宋_GB2312" w:eastAsia="仿宋_GB2312" w:cs="仿宋_GB2312"/>
          <w:i w:val="0"/>
          <w:iCs w:val="0"/>
          <w:caps w:val="0"/>
          <w:color w:val="191919"/>
          <w:spacing w:val="0"/>
          <w:sz w:val="32"/>
          <w:szCs w:val="32"/>
          <w:shd w:val="clear" w:color="auto" w:fill="FFFFFF"/>
        </w:rPr>
      </w:pPr>
      <w:r>
        <w:rPr>
          <w:rFonts w:hint="eastAsia" w:ascii="仿宋_GB2312" w:hAnsi="仿宋_GB2312" w:eastAsia="仿宋_GB2312" w:cs="仿宋_GB2312"/>
          <w:i w:val="0"/>
          <w:iCs w:val="0"/>
          <w:caps w:val="0"/>
          <w:color w:val="191919"/>
          <w:spacing w:val="0"/>
          <w:sz w:val="32"/>
          <w:szCs w:val="32"/>
          <w:shd w:val="clear" w:color="auto" w:fill="FFFFFF"/>
        </w:rPr>
        <w:t>（二十四）设有单体建筑面积大于 2000 平方米的甲类厂房， 或者单体建筑面积大于 6000 平方米的乙类厂房，或者单体建筑面积大于 3000 平方米乙类高层厂房的企业。</w:t>
      </w:r>
    </w:p>
    <w:p>
      <w:pPr>
        <w:ind w:firstLine="435"/>
        <w:rPr>
          <w:rFonts w:hint="eastAsia" w:ascii="仿宋_GB2312" w:hAnsi="仿宋_GB2312" w:eastAsia="仿宋_GB2312" w:cs="仿宋_GB2312"/>
          <w:i w:val="0"/>
          <w:iCs w:val="0"/>
          <w:caps w:val="0"/>
          <w:color w:val="191919"/>
          <w:spacing w:val="0"/>
          <w:sz w:val="32"/>
          <w:szCs w:val="32"/>
          <w:shd w:val="clear" w:color="auto" w:fill="FFFFFF"/>
        </w:rPr>
      </w:pPr>
      <w:r>
        <w:rPr>
          <w:rFonts w:hint="eastAsia" w:ascii="仿宋_GB2312" w:hAnsi="仿宋_GB2312" w:eastAsia="仿宋_GB2312" w:cs="仿宋_GB2312"/>
          <w:i w:val="0"/>
          <w:iCs w:val="0"/>
          <w:caps w:val="0"/>
          <w:color w:val="191919"/>
          <w:spacing w:val="0"/>
          <w:sz w:val="32"/>
          <w:szCs w:val="32"/>
          <w:shd w:val="clear" w:color="auto" w:fill="FFFFFF"/>
        </w:rPr>
        <w:t>（二十五） 日装瓶数量大于 3000 瓶的液化石油气储配站。</w:t>
      </w:r>
    </w:p>
    <w:p>
      <w:pPr>
        <w:ind w:firstLine="435"/>
        <w:rPr>
          <w:rFonts w:hint="eastAsia" w:ascii="仿宋_GB2312" w:hAnsi="仿宋_GB2312" w:eastAsia="仿宋_GB2312" w:cs="仿宋_GB2312"/>
          <w:i w:val="0"/>
          <w:iCs w:val="0"/>
          <w:caps w:val="0"/>
          <w:color w:val="191919"/>
          <w:spacing w:val="0"/>
          <w:sz w:val="32"/>
          <w:szCs w:val="32"/>
          <w:shd w:val="clear" w:color="auto" w:fill="FFFFFF"/>
        </w:rPr>
      </w:pPr>
      <w:r>
        <w:rPr>
          <w:rFonts w:hint="eastAsia" w:ascii="仿宋_GB2312" w:hAnsi="仿宋_GB2312" w:eastAsia="仿宋_GB2312" w:cs="仿宋_GB2312"/>
          <w:i w:val="0"/>
          <w:iCs w:val="0"/>
          <w:caps w:val="0"/>
          <w:color w:val="191919"/>
          <w:spacing w:val="0"/>
          <w:sz w:val="32"/>
          <w:szCs w:val="32"/>
          <w:shd w:val="clear" w:color="auto" w:fill="FFFFFF"/>
        </w:rPr>
        <w:t>（二十六）设有占地面积大于 300 平方米的甲、 乙类仓库， 占地面积大于 1500 平方米或者总建筑面积大于 3000 平方米丙类仓库的企业。</w:t>
      </w:r>
    </w:p>
    <w:p>
      <w:pPr>
        <w:ind w:firstLine="435"/>
        <w:rPr>
          <w:rFonts w:hint="eastAsia" w:ascii="仿宋_GB2312" w:hAnsi="仿宋_GB2312" w:eastAsia="仿宋_GB2312" w:cs="仿宋_GB2312"/>
          <w:i w:val="0"/>
          <w:iCs w:val="0"/>
          <w:caps w:val="0"/>
          <w:color w:val="191919"/>
          <w:spacing w:val="0"/>
          <w:sz w:val="32"/>
          <w:szCs w:val="32"/>
          <w:shd w:val="clear" w:color="auto" w:fill="FFFFFF"/>
        </w:rPr>
      </w:pPr>
      <w:r>
        <w:rPr>
          <w:rFonts w:hint="eastAsia" w:ascii="仿宋_GB2312" w:hAnsi="仿宋_GB2312" w:eastAsia="仿宋_GB2312" w:cs="仿宋_GB2312"/>
          <w:i w:val="0"/>
          <w:iCs w:val="0"/>
          <w:caps w:val="0"/>
          <w:color w:val="191919"/>
          <w:spacing w:val="0"/>
          <w:sz w:val="32"/>
          <w:szCs w:val="32"/>
          <w:shd w:val="clear" w:color="auto" w:fill="FFFFFF"/>
        </w:rPr>
        <w:t>（二十七）装置设备、罐区、建筑区占地面积大于 10000 平方米的易燃易爆化学物品生产、充装、储存、供应、销售企业；</w:t>
      </w:r>
    </w:p>
    <w:p>
      <w:pPr>
        <w:ind w:firstLine="435"/>
        <w:rPr>
          <w:rFonts w:hint="eastAsia" w:ascii="仿宋_GB2312" w:hAnsi="仿宋_GB2312" w:eastAsia="仿宋_GB2312" w:cs="仿宋_GB2312"/>
          <w:i w:val="0"/>
          <w:iCs w:val="0"/>
          <w:caps w:val="0"/>
          <w:color w:val="191919"/>
          <w:spacing w:val="0"/>
          <w:sz w:val="32"/>
          <w:szCs w:val="32"/>
          <w:shd w:val="clear" w:color="auto" w:fill="FFFFFF"/>
        </w:rPr>
      </w:pPr>
      <w:r>
        <w:rPr>
          <w:rFonts w:hint="eastAsia" w:ascii="仿宋_GB2312" w:hAnsi="仿宋_GB2312" w:eastAsia="仿宋_GB2312" w:cs="仿宋_GB2312"/>
          <w:i w:val="0"/>
          <w:iCs w:val="0"/>
          <w:caps w:val="0"/>
          <w:color w:val="191919"/>
          <w:spacing w:val="0"/>
          <w:sz w:val="32"/>
          <w:szCs w:val="32"/>
          <w:shd w:val="clear" w:color="auto" w:fill="FFFFFF"/>
        </w:rPr>
        <w:t>（二十八）同一建筑内员工在 100 人以上的服装、鞋帽、玩 具、食品加工、电子生产、医药、家具、电镀等劳动密集型生产、加工企业。</w:t>
      </w:r>
    </w:p>
    <w:p>
      <w:pPr>
        <w:ind w:firstLine="435"/>
        <w:rPr>
          <w:rFonts w:hint="eastAsia" w:ascii="仿宋_GB2312" w:hAnsi="仿宋_GB2312" w:eastAsia="仿宋_GB2312" w:cs="仿宋_GB2312"/>
          <w:i w:val="0"/>
          <w:iCs w:val="0"/>
          <w:caps w:val="0"/>
          <w:color w:val="191919"/>
          <w:spacing w:val="0"/>
          <w:sz w:val="32"/>
          <w:szCs w:val="32"/>
          <w:shd w:val="clear" w:color="auto" w:fill="FFFFFF"/>
        </w:rPr>
      </w:pPr>
      <w:r>
        <w:rPr>
          <w:rFonts w:hint="eastAsia" w:ascii="仿宋_GB2312" w:hAnsi="仿宋_GB2312" w:eastAsia="仿宋_GB2312" w:cs="仿宋_GB2312"/>
          <w:i w:val="0"/>
          <w:iCs w:val="0"/>
          <w:caps w:val="0"/>
          <w:color w:val="191919"/>
          <w:spacing w:val="0"/>
          <w:sz w:val="32"/>
          <w:szCs w:val="32"/>
          <w:shd w:val="clear" w:color="auto" w:fill="FFFFFF"/>
        </w:rPr>
        <w:t>（二十九）国家储备粮库、总储量在 10000 吨以上的其他粮库。</w:t>
      </w:r>
    </w:p>
    <w:p>
      <w:pPr>
        <w:ind w:firstLine="435"/>
        <w:rPr>
          <w:rFonts w:hint="eastAsia" w:ascii="仿宋_GB2312" w:hAnsi="仿宋_GB2312" w:eastAsia="仿宋_GB2312" w:cs="仿宋_GB2312"/>
          <w:i w:val="0"/>
          <w:iCs w:val="0"/>
          <w:caps w:val="0"/>
          <w:color w:val="191919"/>
          <w:spacing w:val="0"/>
          <w:sz w:val="32"/>
          <w:szCs w:val="32"/>
          <w:shd w:val="clear" w:color="auto" w:fill="FFFFFF"/>
        </w:rPr>
      </w:pPr>
      <w:r>
        <w:rPr>
          <w:rFonts w:hint="eastAsia" w:ascii="仿宋_GB2312" w:hAnsi="仿宋_GB2312" w:eastAsia="仿宋_GB2312" w:cs="仿宋_GB2312"/>
          <w:i w:val="0"/>
          <w:iCs w:val="0"/>
          <w:caps w:val="0"/>
          <w:color w:val="191919"/>
          <w:spacing w:val="0"/>
          <w:sz w:val="32"/>
          <w:szCs w:val="32"/>
          <w:shd w:val="clear" w:color="auto" w:fill="FFFFFF"/>
        </w:rPr>
        <w:t>（三十）设有总储量 500 吨以上棉库的企业。</w:t>
      </w:r>
    </w:p>
    <w:p>
      <w:pPr>
        <w:ind w:firstLine="435"/>
        <w:rPr>
          <w:rFonts w:hint="eastAsia" w:ascii="仿宋_GB2312" w:hAnsi="仿宋_GB2312" w:eastAsia="仿宋_GB2312" w:cs="仿宋_GB2312"/>
          <w:i w:val="0"/>
          <w:iCs w:val="0"/>
          <w:caps w:val="0"/>
          <w:color w:val="191919"/>
          <w:spacing w:val="0"/>
          <w:sz w:val="32"/>
          <w:szCs w:val="32"/>
          <w:shd w:val="clear" w:color="auto" w:fill="FFFFFF"/>
        </w:rPr>
      </w:pPr>
      <w:r>
        <w:rPr>
          <w:rFonts w:hint="eastAsia" w:ascii="仿宋_GB2312" w:hAnsi="仿宋_GB2312" w:eastAsia="仿宋_GB2312" w:cs="仿宋_GB2312"/>
          <w:i w:val="0"/>
          <w:iCs w:val="0"/>
          <w:caps w:val="0"/>
          <w:color w:val="191919"/>
          <w:spacing w:val="0"/>
          <w:sz w:val="32"/>
          <w:szCs w:val="32"/>
          <w:shd w:val="clear" w:color="auto" w:fill="FFFFFF"/>
        </w:rPr>
        <w:t>（三十一）设有总储量 10000 立方米以上木材堆场的企业。</w:t>
      </w:r>
    </w:p>
    <w:p>
      <w:pPr>
        <w:ind w:firstLine="435"/>
        <w:rPr>
          <w:rFonts w:hint="eastAsia" w:ascii="黑体" w:hAnsi="黑体" w:eastAsia="黑体" w:cs="黑体"/>
          <w:snapToGrid w:val="0"/>
          <w:color w:val="000000"/>
          <w:spacing w:val="6"/>
          <w:kern w:val="0"/>
          <w:sz w:val="31"/>
          <w:szCs w:val="31"/>
          <w:lang w:eastAsia="en-US"/>
        </w:rPr>
      </w:pPr>
      <w:r>
        <w:rPr>
          <w:rFonts w:hint="eastAsia" w:ascii="黑体" w:hAnsi="黑体" w:eastAsia="黑体" w:cs="黑体"/>
          <w:snapToGrid w:val="0"/>
          <w:color w:val="000000"/>
          <w:spacing w:val="6"/>
          <w:kern w:val="0"/>
          <w:sz w:val="31"/>
          <w:szCs w:val="31"/>
          <w:lang w:eastAsia="en-US"/>
        </w:rPr>
        <w:t>四、其他发生火灾可能性较大以及一旦发生火灾可能造成重大人身伤亡或者财产损失的单位：</w:t>
      </w:r>
    </w:p>
    <w:p>
      <w:pPr>
        <w:spacing w:line="570" w:lineRule="exact"/>
        <w:ind w:firstLine="640" w:firstLineChars="200"/>
        <w:rPr>
          <w:rFonts w:ascii="仿宋_GB2312" w:hAnsi="宋体" w:eastAsia="仿宋_GB2312" w:cs="宋体"/>
          <w:kern w:val="0"/>
          <w:sz w:val="32"/>
          <w:szCs w:val="32"/>
        </w:rPr>
      </w:pPr>
      <w:r>
        <w:rPr>
          <w:rFonts w:hint="eastAsia" w:ascii="仿宋_GB2312" w:hAnsi="仿宋_GB2312" w:eastAsia="仿宋_GB2312" w:cs="仿宋_GB2312"/>
          <w:i w:val="0"/>
          <w:iCs w:val="0"/>
          <w:caps w:val="0"/>
          <w:color w:val="191919"/>
          <w:spacing w:val="0"/>
          <w:sz w:val="32"/>
          <w:szCs w:val="32"/>
          <w:shd w:val="clear" w:color="auto" w:fill="FFFFFF"/>
        </w:rPr>
        <w:t>（三十二）大型矿山企业。</w:t>
      </w:r>
    </w:p>
    <w:p>
      <w:pPr>
        <w:pStyle w:val="7"/>
        <w:keepNext w:val="0"/>
        <w:keepLines w:val="0"/>
        <w:pageBreakBefore w:val="0"/>
        <w:widowControl w:val="0"/>
        <w:kinsoku/>
        <w:wordWrap/>
        <w:overflowPunct/>
        <w:topLinePunct w:val="0"/>
        <w:autoSpaceDE/>
        <w:autoSpaceDN/>
        <w:bidi w:val="0"/>
        <w:adjustRightInd/>
        <w:snapToGrid/>
        <w:spacing w:line="580" w:lineRule="exact"/>
        <w:ind w:left="0" w:leftChars="0" w:firstLine="0" w:firstLineChars="0"/>
        <w:textAlignment w:val="auto"/>
        <w:rPr>
          <w:rFonts w:hint="eastAsia" w:ascii="仿宋_GB2312" w:hAnsi="仿宋_GB2312" w:eastAsia="仿宋_GB2312" w:cs="仿宋_GB2312"/>
        </w:rPr>
      </w:pPr>
    </w:p>
    <w:sectPr>
      <w:pgSz w:w="11906" w:h="16838"/>
      <w:pgMar w:top="1417" w:right="1417" w:bottom="1417" w:left="141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华文中宋">
    <w:altName w:val="宋体"/>
    <w:panose1 w:val="02010600040101010101"/>
    <w:charset w:val="86"/>
    <w:family w:val="auto"/>
    <w:pitch w:val="default"/>
    <w:sig w:usb0="00000000" w:usb1="00000000" w:usb2="00000000" w:usb3="00000000" w:csb0="0004009F" w:csb1="DFD70000"/>
  </w:font>
  <w:font w:name="方正小标宋简体">
    <w:altName w:val="黑体"/>
    <w:panose1 w:val="03000509000000000000"/>
    <w:charset w:val="86"/>
    <w:family w:val="script"/>
    <w:pitch w:val="default"/>
    <w:sig w:usb0="00000000" w:usb1="00000000" w:usb2="00000000" w:usb3="00000000" w:csb0="00040000" w:csb1="00000000"/>
  </w:font>
  <w:font w:name="??">
    <w:altName w:val="Times New Roman"/>
    <w:panose1 w:val="00000000000000000000"/>
    <w:charset w:val="00"/>
    <w:family w:val="roman"/>
    <w:pitch w:val="default"/>
    <w:sig w:usb0="00000000"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WZhNTE5ZGVhODBkMGVlODcyZTFjZTc1ZDhlODU3NTcifQ=="/>
    <w:docVar w:name="KSO_WPS_MARK_KEY" w:val="58cb3dd8-51c7-4106-83e6-aac12f34e083"/>
  </w:docVars>
  <w:rsids>
    <w:rsidRoot w:val="382B2C2A"/>
    <w:rsid w:val="006B31C3"/>
    <w:rsid w:val="016B230B"/>
    <w:rsid w:val="020C7186"/>
    <w:rsid w:val="0CA710DF"/>
    <w:rsid w:val="0F3F7CF5"/>
    <w:rsid w:val="140137CB"/>
    <w:rsid w:val="147B6AB9"/>
    <w:rsid w:val="1BB13D28"/>
    <w:rsid w:val="1FC3402A"/>
    <w:rsid w:val="2724711D"/>
    <w:rsid w:val="2751016E"/>
    <w:rsid w:val="291122AA"/>
    <w:rsid w:val="312B5ED3"/>
    <w:rsid w:val="33A37A02"/>
    <w:rsid w:val="37FC4126"/>
    <w:rsid w:val="382B2C2A"/>
    <w:rsid w:val="3A646BF6"/>
    <w:rsid w:val="3C014951"/>
    <w:rsid w:val="3CED6733"/>
    <w:rsid w:val="40A315E2"/>
    <w:rsid w:val="44C63AF1"/>
    <w:rsid w:val="477E6905"/>
    <w:rsid w:val="47E516F1"/>
    <w:rsid w:val="49307A8A"/>
    <w:rsid w:val="4A6F0787"/>
    <w:rsid w:val="4B4F2D9B"/>
    <w:rsid w:val="4DAA6362"/>
    <w:rsid w:val="59D90361"/>
    <w:rsid w:val="5A5C665B"/>
    <w:rsid w:val="5C55650D"/>
    <w:rsid w:val="5F40611E"/>
    <w:rsid w:val="601D3B18"/>
    <w:rsid w:val="74277859"/>
    <w:rsid w:val="75C57A68"/>
    <w:rsid w:val="79073835"/>
    <w:rsid w:val="7B2014A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仿宋_GB2312" w:hAnsi="Times New Roman" w:eastAsia="仿宋_GB2312" w:cs="仿宋_GB2312"/>
      <w:kern w:val="2"/>
      <w:sz w:val="32"/>
      <w:szCs w:val="32"/>
      <w:lang w:val="en-US" w:eastAsia="zh-CN" w:bidi="ar-SA"/>
    </w:rPr>
  </w:style>
  <w:style w:type="character" w:default="1" w:styleId="9">
    <w:name w:val="Default Paragraph Font"/>
    <w:autoRedefine/>
    <w:semiHidden/>
    <w:qFormat/>
    <w:uiPriority w:val="0"/>
  </w:style>
  <w:style w:type="table" w:default="1" w:styleId="8">
    <w:name w:val="Normal Table"/>
    <w:autoRedefine/>
    <w:semiHidden/>
    <w:qFormat/>
    <w:uiPriority w:val="0"/>
    <w:tblPr>
      <w:tblCellMar>
        <w:top w:w="0" w:type="dxa"/>
        <w:left w:w="108" w:type="dxa"/>
        <w:bottom w:w="0" w:type="dxa"/>
        <w:right w:w="108" w:type="dxa"/>
      </w:tblCellMar>
    </w:tblPr>
  </w:style>
  <w:style w:type="paragraph" w:styleId="2">
    <w:name w:val="Normal Indent"/>
    <w:basedOn w:val="1"/>
    <w:qFormat/>
    <w:uiPriority w:val="0"/>
    <w:pPr>
      <w:ind w:firstLine="420"/>
    </w:pPr>
    <w:rPr>
      <w:rFonts w:ascii="Times New Roman" w:eastAsia="宋体" w:cs="Times New Roman"/>
      <w:sz w:val="21"/>
      <w:szCs w:val="20"/>
    </w:rPr>
  </w:style>
  <w:style w:type="paragraph" w:styleId="3">
    <w:name w:val="Body Text"/>
    <w:basedOn w:val="1"/>
    <w:autoRedefine/>
    <w:semiHidden/>
    <w:qFormat/>
    <w:uiPriority w:val="0"/>
    <w:rPr>
      <w:rFonts w:ascii="仿宋" w:hAnsi="仿宋" w:eastAsia="仿宋" w:cs="仿宋"/>
      <w:sz w:val="30"/>
      <w:szCs w:val="30"/>
      <w:lang w:val="en-US" w:eastAsia="en-US" w:bidi="ar-SA"/>
    </w:rPr>
  </w:style>
  <w:style w:type="paragraph" w:styleId="4">
    <w:name w:val="Body Text Indent"/>
    <w:basedOn w:val="1"/>
    <w:next w:val="2"/>
    <w:autoRedefine/>
    <w:qFormat/>
    <w:uiPriority w:val="0"/>
    <w:pPr>
      <w:spacing w:after="120" w:afterLines="0"/>
      <w:ind w:left="420" w:leftChars="200"/>
    </w:pPr>
  </w:style>
  <w:style w:type="paragraph" w:styleId="5">
    <w:name w:val="footer"/>
    <w:basedOn w:val="1"/>
    <w:autoRedefine/>
    <w:qFormat/>
    <w:uiPriority w:val="99"/>
    <w:pPr>
      <w:tabs>
        <w:tab w:val="center" w:pos="4153"/>
        <w:tab w:val="right" w:pos="8306"/>
      </w:tabs>
      <w:snapToGrid w:val="0"/>
      <w:jc w:val="left"/>
    </w:pPr>
    <w:rPr>
      <w:sz w:val="18"/>
      <w:szCs w:val="18"/>
    </w:rPr>
  </w:style>
  <w:style w:type="paragraph" w:styleId="6">
    <w:name w:val="Normal (Web)"/>
    <w:basedOn w:val="1"/>
    <w:autoRedefine/>
    <w:qFormat/>
    <w:uiPriority w:val="0"/>
    <w:pPr>
      <w:widowControl/>
      <w:spacing w:before="100" w:beforeLines="0" w:beforeAutospacing="1" w:after="100" w:afterLines="0" w:afterAutospacing="1"/>
      <w:jc w:val="left"/>
    </w:pPr>
    <w:rPr>
      <w:rFonts w:ascii="宋体" w:hAnsi="宋体" w:eastAsia="宋体" w:cs="宋体"/>
      <w:kern w:val="0"/>
      <w:sz w:val="24"/>
      <w:szCs w:val="24"/>
    </w:rPr>
  </w:style>
  <w:style w:type="paragraph" w:styleId="7">
    <w:name w:val="Body Text First Indent 2"/>
    <w:basedOn w:val="4"/>
    <w:autoRedefine/>
    <w:qFormat/>
    <w:uiPriority w:val="0"/>
    <w:pPr>
      <w:ind w:firstLine="420" w:firstLineChars="200"/>
    </w:pPr>
    <w:rPr>
      <w:rFonts w:ascii="Calibri" w:hAnsi="Calibri"/>
      <w:szCs w:val="22"/>
    </w:rPr>
  </w:style>
  <w:style w:type="character" w:styleId="10">
    <w:name w:val="Strong"/>
    <w:basedOn w:val="9"/>
    <w:autoRedefine/>
    <w:qFormat/>
    <w:uiPriority w:val="0"/>
    <w:rPr>
      <w:b/>
      <w:bCs/>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11</Pages>
  <Words>4156</Words>
  <Characters>4478</Characters>
  <Lines>0</Lines>
  <Paragraphs>0</Paragraphs>
  <TotalTime>22</TotalTime>
  <ScaleCrop>false</ScaleCrop>
  <LinksUpToDate>false</LinksUpToDate>
  <CharactersWithSpaces>4879</CharactersWithSpaces>
  <Application>WPS Office_12.1.0.16250_F1E327BC-269C-435d-A152-05C5408002CA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2022-11-11T03:13:00Z</dcterms:created>
  <dc:creator>WPS_1654499699</dc:creator>
  <cp:lastModifiedBy>Administrator</cp:lastModifiedBy>
  <dcterms:modified xsi:type="dcterms:W3CDTF">2024-02-01T06:59:00Z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E7DBE3C2C165479BB3218CFE2BEE7CF4_13</vt:lpwstr>
  </property>
</Properties>
</file>