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44"/>
          <w:szCs w:val="44"/>
        </w:rPr>
      </w:pPr>
      <w:bookmarkStart w:id="0" w:name="OLE_LINK7"/>
      <w:bookmarkStart w:id="1" w:name="OLE_LINK11"/>
      <w:bookmarkStart w:id="2" w:name="OLE_LINK5"/>
      <w:bookmarkStart w:id="3" w:name="OLE_LINK6"/>
      <w:r>
        <w:rPr>
          <w:rFonts w:hint="eastAsia" w:ascii="方正小标宋简体" w:hAnsi="方正小标宋简体" w:eastAsia="方正小标宋简体" w:cs="方正小标宋简体"/>
          <w:sz w:val="44"/>
          <w:szCs w:val="44"/>
        </w:rPr>
        <w:t>大亚湾开发区学前教育发展布局专项规划</w:t>
      </w:r>
    </w:p>
    <w:bookmarkEnd w:id="0"/>
    <w:bookmarkEnd w:id="1"/>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w:t>
      </w:r>
      <w:r>
        <w:rPr>
          <w:rFonts w:ascii="方正小标宋简体" w:hAnsi="方正小标宋简体" w:eastAsia="方正小标宋简体" w:cs="方正小标宋简体"/>
          <w:sz w:val="44"/>
          <w:szCs w:val="44"/>
        </w:rPr>
        <w:t>2024-2035</w:t>
      </w:r>
      <w:r>
        <w:rPr>
          <w:rFonts w:hint="eastAsia" w:ascii="方正小标宋简体" w:hAnsi="方正小标宋简体" w:eastAsia="方正小标宋简体" w:cs="方正小标宋简体"/>
          <w:sz w:val="44"/>
          <w:szCs w:val="44"/>
        </w:rPr>
        <w:t>年）</w:t>
      </w:r>
      <w:bookmarkEnd w:id="2"/>
      <w:bookmarkEnd w:id="3"/>
    </w:p>
    <w:p>
      <w:pPr>
        <w:jc w:val="center"/>
        <w:rPr>
          <w:rFonts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文本</w:t>
      </w:r>
    </w:p>
    <w:p>
      <w:pPr>
        <w:jc w:val="center"/>
        <w:rPr>
          <w:rFonts w:ascii="方正小标宋简体" w:hAnsi="方正小标宋简体" w:eastAsia="方正小标宋简体" w:cs="方正小标宋简体"/>
          <w:sz w:val="44"/>
          <w:szCs w:val="44"/>
        </w:rPr>
      </w:pPr>
    </w:p>
    <w:p>
      <w:pPr>
        <w:jc w:val="center"/>
        <w:rPr>
          <w:rFonts w:ascii="方正小标宋简体" w:hAnsi="方正小标宋简体" w:eastAsia="方正小标宋简体" w:cs="方正小标宋简体"/>
          <w:sz w:val="28"/>
          <w:szCs w:val="44"/>
        </w:rPr>
      </w:pPr>
    </w:p>
    <w:p>
      <w:pPr>
        <w:jc w:val="center"/>
        <w:rPr>
          <w:rFonts w:ascii="方正小标宋简体" w:hAnsi="方正小标宋简体" w:eastAsia="方正小标宋简体" w:cs="方正小标宋简体"/>
          <w:sz w:val="28"/>
          <w:szCs w:val="44"/>
        </w:rPr>
      </w:pPr>
    </w:p>
    <w:p>
      <w:pPr>
        <w:jc w:val="center"/>
        <w:rPr>
          <w:rFonts w:ascii="方正小标宋简体" w:hAnsi="方正小标宋简体" w:eastAsia="方正小标宋简体" w:cs="方正小标宋简体"/>
          <w:sz w:val="28"/>
          <w:szCs w:val="44"/>
        </w:rPr>
      </w:pPr>
    </w:p>
    <w:p>
      <w:pPr>
        <w:jc w:val="center"/>
        <w:rPr>
          <w:rFonts w:ascii="方正小标宋简体" w:hAnsi="方正小标宋简体" w:eastAsia="方正小标宋简体" w:cs="方正小标宋简体"/>
          <w:sz w:val="28"/>
          <w:szCs w:val="44"/>
        </w:rPr>
      </w:pPr>
    </w:p>
    <w:p>
      <w:pPr>
        <w:jc w:val="center"/>
        <w:rPr>
          <w:rFonts w:ascii="方正小标宋简体" w:hAnsi="方正小标宋简体" w:eastAsia="方正小标宋简体" w:cs="方正小标宋简体"/>
          <w:sz w:val="28"/>
          <w:szCs w:val="44"/>
        </w:rPr>
      </w:pPr>
    </w:p>
    <w:p>
      <w:pPr>
        <w:jc w:val="center"/>
        <w:rPr>
          <w:rFonts w:ascii="方正小标宋简体" w:hAnsi="方正小标宋简体" w:eastAsia="方正小标宋简体" w:cs="方正小标宋简体"/>
          <w:sz w:val="28"/>
          <w:szCs w:val="44"/>
        </w:rPr>
      </w:pPr>
    </w:p>
    <w:p>
      <w:pPr>
        <w:jc w:val="center"/>
        <w:rPr>
          <w:rFonts w:ascii="方正小标宋简体" w:hAnsi="方正小标宋简体" w:eastAsia="方正小标宋简体" w:cs="方正小标宋简体"/>
          <w:sz w:val="28"/>
          <w:szCs w:val="44"/>
        </w:rPr>
      </w:pPr>
    </w:p>
    <w:p>
      <w:pPr>
        <w:jc w:val="center"/>
        <w:rPr>
          <w:rFonts w:ascii="方正小标宋简体" w:hAnsi="方正小标宋简体" w:eastAsia="方正小标宋简体" w:cs="方正小标宋简体"/>
          <w:sz w:val="28"/>
          <w:szCs w:val="44"/>
        </w:rPr>
      </w:pPr>
      <w:bookmarkStart w:id="4" w:name="OLE_LINK12"/>
      <w:r>
        <w:rPr>
          <w:rFonts w:hint="eastAsia" w:ascii="方正小标宋简体" w:hAnsi="方正小标宋简体" w:eastAsia="方正小标宋简体" w:cs="方正小标宋简体"/>
          <w:sz w:val="28"/>
          <w:szCs w:val="44"/>
        </w:rPr>
        <w:t>惠州大亚湾经济技术开发区管理委员会教育文化卫生健康局</w:t>
      </w:r>
    </w:p>
    <w:bookmarkEnd w:id="4"/>
    <w:p>
      <w:pPr>
        <w:jc w:val="center"/>
        <w:rPr>
          <w:rFonts w:ascii="方正小标宋简体" w:hAnsi="方正小标宋简体" w:eastAsia="方正小标宋简体" w:cs="方正小标宋简体"/>
          <w:sz w:val="28"/>
          <w:szCs w:val="44"/>
        </w:rPr>
      </w:pPr>
      <w:r>
        <w:rPr>
          <w:rFonts w:hint="eastAsia" w:ascii="方正小标宋简体" w:hAnsi="方正小标宋简体" w:eastAsia="方正小标宋简体" w:cs="方正小标宋简体"/>
          <w:sz w:val="28"/>
          <w:szCs w:val="44"/>
        </w:rPr>
        <w:t>20</w:t>
      </w:r>
      <w:r>
        <w:rPr>
          <w:rFonts w:ascii="方正小标宋简体" w:hAnsi="方正小标宋简体" w:eastAsia="方正小标宋简体" w:cs="方正小标宋简体"/>
          <w:sz w:val="28"/>
          <w:szCs w:val="44"/>
        </w:rPr>
        <w:t>2</w:t>
      </w:r>
      <w:r>
        <w:rPr>
          <w:rFonts w:hint="eastAsia" w:ascii="方正小标宋简体" w:hAnsi="方正小标宋简体" w:eastAsia="方正小标宋简体" w:cs="方正小标宋简体"/>
          <w:sz w:val="28"/>
          <w:szCs w:val="44"/>
        </w:rPr>
        <w:t>4年12月</w:t>
      </w:r>
    </w:p>
    <w:p>
      <w:pPr>
        <w:tabs>
          <w:tab w:val="left" w:pos="9720"/>
          <w:tab w:val="left" w:pos="16740"/>
          <w:tab w:val="left" w:pos="20340"/>
        </w:tabs>
        <w:autoSpaceDE w:val="0"/>
        <w:autoSpaceDN w:val="0"/>
        <w:adjustRightInd w:val="0"/>
        <w:rPr>
          <w:rFonts w:ascii="方正小标宋简体" w:hAnsi="方正小标宋简体" w:eastAsia="方正小标宋简体" w:cs="方正小标宋简体"/>
          <w:sz w:val="28"/>
          <w:szCs w:val="44"/>
        </w:rPr>
      </w:pPr>
    </w:p>
    <w:p>
      <w:pPr>
        <w:tabs>
          <w:tab w:val="left" w:pos="9720"/>
          <w:tab w:val="left" w:pos="16740"/>
          <w:tab w:val="left" w:pos="20340"/>
        </w:tabs>
        <w:autoSpaceDE w:val="0"/>
        <w:autoSpaceDN w:val="0"/>
        <w:adjustRightInd w:val="0"/>
        <w:rPr>
          <w:rFonts w:ascii="方正小标宋简体" w:hAnsi="方正小标宋简体" w:eastAsia="方正小标宋简体" w:cs="方正小标宋简体"/>
          <w:sz w:val="28"/>
          <w:szCs w:val="44"/>
        </w:rPr>
      </w:pPr>
    </w:p>
    <w:sdt>
      <w:sdtPr>
        <w:rPr>
          <w:rFonts w:asciiTheme="minorHAnsi" w:hAnsiTheme="minorHAnsi" w:eastAsiaTheme="minorEastAsia" w:cstheme="minorBidi"/>
          <w:color w:val="auto"/>
          <w:kern w:val="2"/>
          <w:sz w:val="21"/>
          <w:szCs w:val="22"/>
          <w:lang w:val="zh-CN"/>
        </w:rPr>
        <w:id w:val="1112629261"/>
        <w:docPartObj>
          <w:docPartGallery w:val="Table of Contents"/>
          <w:docPartUnique/>
        </w:docPartObj>
      </w:sdtPr>
      <w:sdtEndPr>
        <w:rPr>
          <w:rFonts w:asciiTheme="minorHAnsi" w:hAnsiTheme="minorHAnsi" w:eastAsiaTheme="minorEastAsia" w:cstheme="minorBidi"/>
          <w:b/>
          <w:bCs/>
          <w:color w:val="auto"/>
          <w:kern w:val="2"/>
          <w:sz w:val="21"/>
          <w:szCs w:val="22"/>
          <w:lang w:val="zh-CN"/>
        </w:rPr>
      </w:sdtEndPr>
      <w:sdtContent>
        <w:p>
          <w:pPr>
            <w:pStyle w:val="27"/>
            <w:jc w:val="center"/>
            <w:rPr>
              <w:rFonts w:ascii="黑体" w:hAnsi="黑体" w:eastAsia="黑体"/>
              <w:b/>
              <w:color w:val="auto"/>
              <w:sz w:val="36"/>
              <w:szCs w:val="36"/>
            </w:rPr>
          </w:pPr>
          <w:r>
            <w:rPr>
              <w:rFonts w:ascii="黑体" w:hAnsi="黑体" w:eastAsia="黑体"/>
              <w:b/>
              <w:color w:val="auto"/>
              <w:sz w:val="36"/>
              <w:szCs w:val="36"/>
              <w:lang w:val="zh-CN"/>
            </w:rPr>
            <w:t>目录</w:t>
          </w:r>
        </w:p>
        <w:p>
          <w:pPr>
            <w:pStyle w:val="10"/>
            <w:tabs>
              <w:tab w:val="left" w:pos="1050"/>
              <w:tab w:val="right" w:leader="dot" w:pos="8296"/>
            </w:tabs>
            <w:rPr>
              <w:rFonts w:asciiTheme="minorHAnsi" w:hAnsiTheme="minorHAnsi" w:eastAsiaTheme="minorEastAsia" w:cstheme="minorBidi"/>
              <w:b w:val="0"/>
              <w:bCs w:val="0"/>
              <w:kern w:val="2"/>
              <w:sz w:val="21"/>
              <w:szCs w:val="22"/>
            </w:rPr>
          </w:pPr>
          <w:r>
            <w:fldChar w:fldCharType="begin"/>
          </w:r>
          <w:r>
            <w:instrText xml:space="preserve"> TOC \o "1-1" \h \z \u </w:instrText>
          </w:r>
          <w:r>
            <w:fldChar w:fldCharType="separate"/>
          </w:r>
          <w:r>
            <w:fldChar w:fldCharType="begin"/>
          </w:r>
          <w:r>
            <w:instrText xml:space="preserve"> HYPERLINK \l "_Toc185583018" </w:instrText>
          </w:r>
          <w:r>
            <w:fldChar w:fldCharType="separate"/>
          </w:r>
          <w:r>
            <w:rPr>
              <w:rStyle w:val="17"/>
              <w:rFonts w:ascii="Times New Roman" w:hAnsi="Times New Roman"/>
            </w:rPr>
            <w:t>第一章</w:t>
          </w:r>
          <w:r>
            <w:rPr>
              <w:rFonts w:asciiTheme="minorHAnsi" w:hAnsiTheme="minorHAnsi" w:eastAsiaTheme="minorEastAsia" w:cstheme="minorBidi"/>
              <w:b w:val="0"/>
              <w:bCs w:val="0"/>
              <w:kern w:val="2"/>
              <w:sz w:val="21"/>
              <w:szCs w:val="22"/>
            </w:rPr>
            <w:tab/>
          </w:r>
          <w:r>
            <w:rPr>
              <w:rStyle w:val="17"/>
              <w:rFonts w:ascii="Times New Roman" w:hAnsi="Times New Roman"/>
            </w:rPr>
            <w:t>总则</w:t>
          </w:r>
          <w:r>
            <w:tab/>
          </w:r>
          <w:r>
            <w:fldChar w:fldCharType="begin"/>
          </w:r>
          <w:r>
            <w:instrText xml:space="preserve"> PAGEREF _Toc185583018 \h </w:instrText>
          </w:r>
          <w:r>
            <w:fldChar w:fldCharType="separate"/>
          </w:r>
          <w:r>
            <w:t>3</w:t>
          </w:r>
          <w:r>
            <w:fldChar w:fldCharType="end"/>
          </w:r>
          <w:r>
            <w:fldChar w:fldCharType="end"/>
          </w:r>
        </w:p>
        <w:p>
          <w:pPr>
            <w:pStyle w:val="10"/>
            <w:tabs>
              <w:tab w:val="left" w:pos="1050"/>
              <w:tab w:val="right" w:leader="dot" w:pos="8296"/>
            </w:tabs>
            <w:rPr>
              <w:rFonts w:asciiTheme="minorHAnsi" w:hAnsiTheme="minorHAnsi" w:eastAsiaTheme="minorEastAsia" w:cstheme="minorBidi"/>
              <w:b w:val="0"/>
              <w:bCs w:val="0"/>
              <w:kern w:val="2"/>
              <w:sz w:val="21"/>
              <w:szCs w:val="22"/>
            </w:rPr>
          </w:pPr>
          <w:r>
            <w:fldChar w:fldCharType="begin"/>
          </w:r>
          <w:r>
            <w:instrText xml:space="preserve"> HYPERLINK \l "_Toc185583019" </w:instrText>
          </w:r>
          <w:r>
            <w:fldChar w:fldCharType="separate"/>
          </w:r>
          <w:r>
            <w:rPr>
              <w:rStyle w:val="17"/>
              <w:rFonts w:ascii="Times New Roman" w:hAnsi="Times New Roman"/>
            </w:rPr>
            <w:t>第二章</w:t>
          </w:r>
          <w:r>
            <w:rPr>
              <w:rFonts w:asciiTheme="minorHAnsi" w:hAnsiTheme="minorHAnsi" w:eastAsiaTheme="minorEastAsia" w:cstheme="minorBidi"/>
              <w:b w:val="0"/>
              <w:bCs w:val="0"/>
              <w:kern w:val="2"/>
              <w:sz w:val="21"/>
              <w:szCs w:val="22"/>
            </w:rPr>
            <w:tab/>
          </w:r>
          <w:r>
            <w:rPr>
              <w:rStyle w:val="17"/>
              <w:rFonts w:ascii="Times New Roman" w:hAnsi="Times New Roman"/>
            </w:rPr>
            <w:t>总体目标与策略</w:t>
          </w:r>
          <w:r>
            <w:tab/>
          </w:r>
          <w:r>
            <w:fldChar w:fldCharType="begin"/>
          </w:r>
          <w:r>
            <w:instrText xml:space="preserve"> PAGEREF _Toc185583019 \h </w:instrText>
          </w:r>
          <w:r>
            <w:fldChar w:fldCharType="separate"/>
          </w:r>
          <w:r>
            <w:t>5</w:t>
          </w:r>
          <w:r>
            <w:fldChar w:fldCharType="end"/>
          </w:r>
          <w:r>
            <w:fldChar w:fldCharType="end"/>
          </w:r>
        </w:p>
        <w:p>
          <w:pPr>
            <w:pStyle w:val="10"/>
            <w:tabs>
              <w:tab w:val="left" w:pos="1050"/>
              <w:tab w:val="right" w:leader="dot" w:pos="8296"/>
            </w:tabs>
            <w:rPr>
              <w:rFonts w:asciiTheme="minorHAnsi" w:hAnsiTheme="minorHAnsi" w:eastAsiaTheme="minorEastAsia" w:cstheme="minorBidi"/>
              <w:b w:val="0"/>
              <w:bCs w:val="0"/>
              <w:kern w:val="2"/>
              <w:sz w:val="21"/>
              <w:szCs w:val="22"/>
            </w:rPr>
          </w:pPr>
          <w:r>
            <w:fldChar w:fldCharType="begin"/>
          </w:r>
          <w:r>
            <w:instrText xml:space="preserve"> HYPERLINK \l "_Toc185583020" </w:instrText>
          </w:r>
          <w:r>
            <w:fldChar w:fldCharType="separate"/>
          </w:r>
          <w:r>
            <w:rPr>
              <w:rStyle w:val="17"/>
              <w:rFonts w:ascii="Times New Roman" w:hAnsi="Times New Roman"/>
            </w:rPr>
            <w:t>第三章</w:t>
          </w:r>
          <w:r>
            <w:rPr>
              <w:rFonts w:asciiTheme="minorHAnsi" w:hAnsiTheme="minorHAnsi" w:eastAsiaTheme="minorEastAsia" w:cstheme="minorBidi"/>
              <w:b w:val="0"/>
              <w:bCs w:val="0"/>
              <w:kern w:val="2"/>
              <w:sz w:val="21"/>
              <w:szCs w:val="22"/>
            </w:rPr>
            <w:tab/>
          </w:r>
          <w:r>
            <w:rPr>
              <w:rStyle w:val="17"/>
              <w:rFonts w:ascii="Times New Roman" w:hAnsi="Times New Roman"/>
            </w:rPr>
            <w:t>规划标准与需求预测</w:t>
          </w:r>
          <w:r>
            <w:tab/>
          </w:r>
          <w:r>
            <w:fldChar w:fldCharType="begin"/>
          </w:r>
          <w:r>
            <w:instrText xml:space="preserve"> PAGEREF _Toc185583020 \h </w:instrText>
          </w:r>
          <w:r>
            <w:fldChar w:fldCharType="separate"/>
          </w:r>
          <w:r>
            <w:t>6</w:t>
          </w:r>
          <w:r>
            <w:fldChar w:fldCharType="end"/>
          </w:r>
          <w:r>
            <w:fldChar w:fldCharType="end"/>
          </w:r>
        </w:p>
        <w:p>
          <w:pPr>
            <w:pStyle w:val="10"/>
            <w:tabs>
              <w:tab w:val="left" w:pos="1050"/>
              <w:tab w:val="right" w:leader="dot" w:pos="8296"/>
            </w:tabs>
            <w:rPr>
              <w:rFonts w:asciiTheme="minorHAnsi" w:hAnsiTheme="minorHAnsi" w:eastAsiaTheme="minorEastAsia" w:cstheme="minorBidi"/>
              <w:b w:val="0"/>
              <w:bCs w:val="0"/>
              <w:kern w:val="2"/>
              <w:sz w:val="21"/>
              <w:szCs w:val="22"/>
            </w:rPr>
          </w:pPr>
          <w:r>
            <w:fldChar w:fldCharType="begin"/>
          </w:r>
          <w:r>
            <w:instrText xml:space="preserve"> HYPERLINK \l "_Toc185583021" </w:instrText>
          </w:r>
          <w:r>
            <w:fldChar w:fldCharType="separate"/>
          </w:r>
          <w:r>
            <w:rPr>
              <w:rStyle w:val="17"/>
              <w:rFonts w:ascii="Times New Roman" w:hAnsi="Times New Roman"/>
            </w:rPr>
            <w:t>第四章</w:t>
          </w:r>
          <w:r>
            <w:rPr>
              <w:rFonts w:asciiTheme="minorHAnsi" w:hAnsiTheme="minorHAnsi" w:eastAsiaTheme="minorEastAsia" w:cstheme="minorBidi"/>
              <w:b w:val="0"/>
              <w:bCs w:val="0"/>
              <w:kern w:val="2"/>
              <w:sz w:val="21"/>
              <w:szCs w:val="22"/>
            </w:rPr>
            <w:tab/>
          </w:r>
          <w:r>
            <w:rPr>
              <w:rStyle w:val="17"/>
              <w:rFonts w:ascii="Times New Roman" w:hAnsi="Times New Roman"/>
            </w:rPr>
            <w:t>幼儿园设施规划</w:t>
          </w:r>
          <w:r>
            <w:tab/>
          </w:r>
          <w:r>
            <w:fldChar w:fldCharType="begin"/>
          </w:r>
          <w:r>
            <w:instrText xml:space="preserve"> PAGEREF _Toc185583021 \h </w:instrText>
          </w:r>
          <w:r>
            <w:fldChar w:fldCharType="separate"/>
          </w:r>
          <w:r>
            <w:t>7</w:t>
          </w:r>
          <w:r>
            <w:fldChar w:fldCharType="end"/>
          </w:r>
          <w:r>
            <w:fldChar w:fldCharType="end"/>
          </w:r>
        </w:p>
        <w:p>
          <w:pPr>
            <w:pStyle w:val="10"/>
            <w:tabs>
              <w:tab w:val="left" w:pos="1050"/>
              <w:tab w:val="right" w:leader="dot" w:pos="8296"/>
            </w:tabs>
            <w:rPr>
              <w:rFonts w:asciiTheme="minorHAnsi" w:hAnsiTheme="minorHAnsi" w:eastAsiaTheme="minorEastAsia" w:cstheme="minorBidi"/>
              <w:b w:val="0"/>
              <w:bCs w:val="0"/>
              <w:kern w:val="2"/>
              <w:sz w:val="21"/>
              <w:szCs w:val="22"/>
            </w:rPr>
          </w:pPr>
          <w:r>
            <w:fldChar w:fldCharType="begin"/>
          </w:r>
          <w:r>
            <w:instrText xml:space="preserve"> HYPERLINK \l "_Toc185583022" </w:instrText>
          </w:r>
          <w:r>
            <w:fldChar w:fldCharType="separate"/>
          </w:r>
          <w:r>
            <w:rPr>
              <w:rStyle w:val="17"/>
              <w:rFonts w:ascii="Times New Roman" w:hAnsi="Times New Roman"/>
            </w:rPr>
            <w:t>第五章</w:t>
          </w:r>
          <w:r>
            <w:rPr>
              <w:rFonts w:asciiTheme="minorHAnsi" w:hAnsiTheme="minorHAnsi" w:eastAsiaTheme="minorEastAsia" w:cstheme="minorBidi"/>
              <w:b w:val="0"/>
              <w:bCs w:val="0"/>
              <w:kern w:val="2"/>
              <w:sz w:val="21"/>
              <w:szCs w:val="22"/>
            </w:rPr>
            <w:tab/>
          </w:r>
          <w:r>
            <w:rPr>
              <w:rStyle w:val="17"/>
              <w:rFonts w:ascii="Times New Roman" w:hAnsi="Times New Roman"/>
            </w:rPr>
            <w:t>近期建设规划</w:t>
          </w:r>
          <w:r>
            <w:tab/>
          </w:r>
          <w:r>
            <w:fldChar w:fldCharType="begin"/>
          </w:r>
          <w:r>
            <w:instrText xml:space="preserve"> PAGEREF _Toc185583022 \h </w:instrText>
          </w:r>
          <w:r>
            <w:fldChar w:fldCharType="separate"/>
          </w:r>
          <w:r>
            <w:t>8</w:t>
          </w:r>
          <w:r>
            <w:fldChar w:fldCharType="end"/>
          </w:r>
          <w:r>
            <w:fldChar w:fldCharType="end"/>
          </w:r>
        </w:p>
        <w:p>
          <w:pPr>
            <w:pStyle w:val="10"/>
            <w:tabs>
              <w:tab w:val="left" w:pos="1050"/>
              <w:tab w:val="right" w:leader="dot" w:pos="8296"/>
            </w:tabs>
            <w:rPr>
              <w:rFonts w:asciiTheme="minorHAnsi" w:hAnsiTheme="minorHAnsi" w:eastAsiaTheme="minorEastAsia" w:cstheme="minorBidi"/>
              <w:b w:val="0"/>
              <w:bCs w:val="0"/>
              <w:kern w:val="2"/>
              <w:sz w:val="21"/>
              <w:szCs w:val="22"/>
            </w:rPr>
          </w:pPr>
          <w:r>
            <w:fldChar w:fldCharType="begin"/>
          </w:r>
          <w:r>
            <w:instrText xml:space="preserve"> HYPERLINK \l "_Toc185583023" </w:instrText>
          </w:r>
          <w:r>
            <w:fldChar w:fldCharType="separate"/>
          </w:r>
          <w:r>
            <w:rPr>
              <w:rStyle w:val="17"/>
              <w:rFonts w:ascii="Times New Roman" w:hAnsi="Times New Roman"/>
            </w:rPr>
            <w:t>第六章</w:t>
          </w:r>
          <w:r>
            <w:rPr>
              <w:rFonts w:asciiTheme="minorHAnsi" w:hAnsiTheme="minorHAnsi" w:eastAsiaTheme="minorEastAsia" w:cstheme="minorBidi"/>
              <w:b w:val="0"/>
              <w:bCs w:val="0"/>
              <w:kern w:val="2"/>
              <w:sz w:val="21"/>
              <w:szCs w:val="22"/>
            </w:rPr>
            <w:tab/>
          </w:r>
          <w:r>
            <w:rPr>
              <w:rStyle w:val="17"/>
              <w:rFonts w:ascii="Times New Roman" w:hAnsi="Times New Roman"/>
            </w:rPr>
            <w:t>规划实施保障</w:t>
          </w:r>
          <w:r>
            <w:tab/>
          </w:r>
          <w:r>
            <w:fldChar w:fldCharType="begin"/>
          </w:r>
          <w:r>
            <w:instrText xml:space="preserve"> PAGEREF _Toc185583023 \h </w:instrText>
          </w:r>
          <w:r>
            <w:fldChar w:fldCharType="separate"/>
          </w:r>
          <w:r>
            <w:t>9</w:t>
          </w:r>
          <w:r>
            <w:fldChar w:fldCharType="end"/>
          </w:r>
          <w:r>
            <w:fldChar w:fldCharType="end"/>
          </w:r>
        </w:p>
        <w:p>
          <w:r>
            <w:rPr>
              <w:rFonts w:eastAsia="黑体" w:cs="Times New Roman" w:asciiTheme="majorHAnsi" w:hAnsiTheme="majorHAnsi"/>
              <w:b/>
              <w:bCs/>
              <w:kern w:val="0"/>
              <w:sz w:val="24"/>
              <w:szCs w:val="32"/>
            </w:rPr>
            <w:fldChar w:fldCharType="end"/>
          </w:r>
        </w:p>
      </w:sdtContent>
    </w:sdt>
    <w:p>
      <w:pPr>
        <w:tabs>
          <w:tab w:val="left" w:pos="9720"/>
          <w:tab w:val="left" w:pos="16740"/>
          <w:tab w:val="left" w:pos="20340"/>
        </w:tabs>
        <w:autoSpaceDE w:val="0"/>
        <w:autoSpaceDN w:val="0"/>
        <w:adjustRightInd w:val="0"/>
        <w:rPr>
          <w:rFonts w:ascii="宋体" w:hAnsi="宋体" w:eastAsia="宋体" w:cs="黑体"/>
          <w:kern w:val="0"/>
          <w:sz w:val="32"/>
          <w:szCs w:val="32"/>
          <w:u w:val="single"/>
        </w:rPr>
      </w:pPr>
      <w:r>
        <w:rPr>
          <w:rFonts w:ascii="方正小标宋简体" w:hAnsi="方正小标宋简体" w:eastAsia="方正小标宋简体" w:cs="方正小标宋简体"/>
          <w:sz w:val="28"/>
          <w:szCs w:val="44"/>
        </w:rPr>
        <w:br w:type="page"/>
      </w:r>
    </w:p>
    <w:p>
      <w:pPr>
        <w:pStyle w:val="3"/>
        <w:keepNext w:val="0"/>
        <w:keepLines w:val="0"/>
        <w:numPr>
          <w:ilvl w:val="0"/>
          <w:numId w:val="1"/>
        </w:numPr>
        <w:spacing w:before="156" w:beforeLines="50" w:after="0" w:line="360" w:lineRule="auto"/>
        <w:jc w:val="center"/>
        <w:rPr>
          <w:rFonts w:ascii="Times New Roman" w:hAnsi="Times New Roman" w:eastAsia="黑体" w:cs="Times New Roman"/>
          <w:sz w:val="36"/>
        </w:rPr>
      </w:pPr>
      <w:bookmarkStart w:id="5" w:name="_Toc185583018"/>
      <w:r>
        <w:rPr>
          <w:rFonts w:hint="eastAsia" w:ascii="Times New Roman" w:hAnsi="Times New Roman" w:eastAsia="黑体" w:cs="Times New Roman"/>
          <w:sz w:val="36"/>
        </w:rPr>
        <w:t>总则</w:t>
      </w:r>
      <w:bookmarkEnd w:id="5"/>
    </w:p>
    <w:p>
      <w:pPr>
        <w:pStyle w:val="4"/>
        <w:numPr>
          <w:ilvl w:val="0"/>
          <w:numId w:val="2"/>
        </w:numPr>
        <w:spacing w:before="100" w:after="100" w:line="460" w:lineRule="exact"/>
        <w:jc w:val="left"/>
        <w:rPr>
          <w:rFonts w:ascii="Arial" w:hAnsi="Arial" w:eastAsia="宋体" w:cs="Times New Roman"/>
          <w:sz w:val="28"/>
        </w:rPr>
      </w:pPr>
      <w:r>
        <w:rPr>
          <w:rFonts w:hint="eastAsia" w:ascii="Arial" w:hAnsi="Arial" w:eastAsia="宋体" w:cs="Times New Roman"/>
          <w:sz w:val="28"/>
        </w:rPr>
        <w:t>编制目的</w:t>
      </w:r>
    </w:p>
    <w:p>
      <w:pPr>
        <w:spacing w:line="360" w:lineRule="auto"/>
        <w:ind w:firstLine="480" w:firstLineChars="200"/>
        <w:rPr>
          <w:rFonts w:ascii="Times New Roman" w:hAnsi="Times New Roman" w:eastAsia="宋体" w:cs="Times New Roman"/>
          <w:sz w:val="24"/>
          <w:szCs w:val="24"/>
        </w:rPr>
      </w:pPr>
      <w:bookmarkStart w:id="6" w:name="OLE_LINK9"/>
      <w:bookmarkStart w:id="7" w:name="OLE_LINK8"/>
      <w:bookmarkStart w:id="8" w:name="OLE_LINK10"/>
      <w:r>
        <w:rPr>
          <w:rFonts w:hint="eastAsia" w:ascii="Times New Roman" w:hAnsi="Times New Roman" w:eastAsia="宋体" w:cs="Times New Roman"/>
          <w:sz w:val="24"/>
          <w:szCs w:val="24"/>
        </w:rPr>
        <w:t>为落实教育优先发展战略，推进全区教育事业高质量发展，按照《中共中央国务院关于学前教育深化改革规范发展的若干意见》《中华人民共和国国民经济和社会发展第十四个五年规划和2035年远景目标纲要》和《“十四五”学前教育发展提升行动计划》精神，结合我区实际，开展幼儿园布局专项规划，将普惠性幼儿园建设纳入规划，近期解决区内部分片区幼儿园学位紧张问题，远期谋划学前教育高品质、均质化发展。进一步扩大学前教育普惠性资源供给，推进学前教育普及普惠安全优质发展，满足人民群众对幼有所育、幼有优育的美好期盼。</w:t>
      </w:r>
    </w:p>
    <w:bookmarkEnd w:id="6"/>
    <w:bookmarkEnd w:id="7"/>
    <w:bookmarkEnd w:id="8"/>
    <w:p>
      <w:pPr>
        <w:pStyle w:val="4"/>
        <w:numPr>
          <w:ilvl w:val="0"/>
          <w:numId w:val="2"/>
        </w:numPr>
        <w:spacing w:before="100" w:after="100" w:line="460" w:lineRule="exact"/>
        <w:jc w:val="left"/>
        <w:rPr>
          <w:rFonts w:ascii="Arial" w:hAnsi="Arial" w:eastAsia="宋体" w:cs="Times New Roman"/>
          <w:sz w:val="28"/>
        </w:rPr>
      </w:pPr>
      <w:r>
        <w:rPr>
          <w:rFonts w:hint="eastAsia" w:ascii="Arial" w:hAnsi="Arial" w:eastAsia="宋体" w:cs="Times New Roman"/>
          <w:sz w:val="28"/>
        </w:rPr>
        <w:t>研究对象</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本次规划的研究对象为学前教育阶段的教育设施，包括公办幼儿园、普惠性民办幼儿园、民办幼儿园三个类别。</w:t>
      </w:r>
    </w:p>
    <w:p>
      <w:pPr>
        <w:pStyle w:val="4"/>
        <w:numPr>
          <w:ilvl w:val="0"/>
          <w:numId w:val="2"/>
        </w:numPr>
        <w:spacing w:before="100" w:after="100" w:line="460" w:lineRule="exact"/>
        <w:jc w:val="left"/>
        <w:rPr>
          <w:rFonts w:ascii="Arial" w:hAnsi="Arial" w:eastAsia="宋体" w:cs="Times New Roman"/>
          <w:sz w:val="28"/>
        </w:rPr>
      </w:pPr>
      <w:r>
        <w:rPr>
          <w:rFonts w:hint="eastAsia" w:ascii="Arial" w:hAnsi="Arial" w:eastAsia="宋体" w:cs="Times New Roman"/>
          <w:sz w:val="28"/>
        </w:rPr>
        <w:t>规划范围</w:t>
      </w:r>
    </w:p>
    <w:p>
      <w:pPr>
        <w:spacing w:line="360" w:lineRule="auto"/>
        <w:ind w:firstLine="480" w:firstLineChars="200"/>
        <w:rPr>
          <w:rFonts w:ascii="宋体" w:hAnsi="宋体" w:eastAsia="宋体" w:cs="Times New Roman"/>
          <w:sz w:val="24"/>
          <w:szCs w:val="24"/>
        </w:rPr>
      </w:pPr>
      <w:bookmarkStart w:id="9" w:name="OLE_LINK16"/>
      <w:r>
        <w:rPr>
          <w:rFonts w:hint="eastAsia" w:ascii="宋体" w:hAnsi="宋体" w:eastAsia="宋体" w:cs="Times New Roman"/>
          <w:sz w:val="24"/>
          <w:szCs w:val="24"/>
        </w:rPr>
        <w:t>本次规划范围为大亚湾开发区陆域，包括澳头、西区、霞涌等3个街道。</w:t>
      </w:r>
    </w:p>
    <w:bookmarkEnd w:id="9"/>
    <w:p>
      <w:pPr>
        <w:pStyle w:val="4"/>
        <w:numPr>
          <w:ilvl w:val="0"/>
          <w:numId w:val="2"/>
        </w:numPr>
        <w:spacing w:before="100" w:after="100" w:line="460" w:lineRule="exact"/>
        <w:jc w:val="left"/>
        <w:rPr>
          <w:rFonts w:ascii="Arial" w:hAnsi="Arial" w:eastAsia="宋体" w:cs="Times New Roman"/>
          <w:sz w:val="28"/>
        </w:rPr>
      </w:pPr>
      <w:r>
        <w:rPr>
          <w:rFonts w:hint="eastAsia" w:ascii="Arial" w:hAnsi="Arial" w:eastAsia="宋体" w:cs="Times New Roman"/>
          <w:sz w:val="28"/>
        </w:rPr>
        <w:t>规划依据</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bookmarkStart w:id="10" w:name="OLE_LINK2"/>
      <w:bookmarkStart w:id="11" w:name="OLE_LINK1"/>
      <w:r>
        <w:rPr>
          <w:rFonts w:hint="eastAsia" w:ascii="宋体" w:hAnsi="宋体" w:eastAsia="宋体" w:cs="Times New Roman"/>
          <w:sz w:val="24"/>
          <w:szCs w:val="24"/>
        </w:rPr>
        <w:t>《中华人民共和国城乡规划法》（2019年修正）</w:t>
      </w:r>
      <w:bookmarkEnd w:id="10"/>
      <w:bookmarkEnd w:id="11"/>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2</w:t>
      </w:r>
      <w:r>
        <w:rPr>
          <w:rFonts w:hint="eastAsia" w:ascii="宋体" w:hAnsi="宋体" w:eastAsia="宋体" w:cs="Times New Roman"/>
          <w:sz w:val="24"/>
          <w:szCs w:val="24"/>
        </w:rPr>
        <w:t>）</w:t>
      </w:r>
      <w:bookmarkStart w:id="12" w:name="OLE_LINK4"/>
      <w:bookmarkStart w:id="13" w:name="OLE_LINK3"/>
      <w:r>
        <w:rPr>
          <w:rFonts w:hint="eastAsia" w:ascii="宋体" w:hAnsi="宋体" w:eastAsia="宋体" w:cs="Times New Roman"/>
          <w:sz w:val="24"/>
          <w:szCs w:val="24"/>
        </w:rPr>
        <w:t>《中华人民共和国义务教育法》</w:t>
      </w:r>
      <w:bookmarkEnd w:id="12"/>
      <w:bookmarkEnd w:id="13"/>
      <w:r>
        <w:rPr>
          <w:rFonts w:hint="eastAsia" w:ascii="宋体" w:hAnsi="宋体" w:eastAsia="宋体" w:cs="Times New Roman"/>
          <w:sz w:val="24"/>
          <w:szCs w:val="24"/>
        </w:rPr>
        <w:t>（2018年修改）</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3</w:t>
      </w:r>
      <w:r>
        <w:rPr>
          <w:rFonts w:hint="eastAsia" w:ascii="宋体" w:hAnsi="宋体" w:eastAsia="宋体" w:cs="Times New Roman"/>
          <w:sz w:val="24"/>
          <w:szCs w:val="24"/>
        </w:rPr>
        <w:t>）《托儿所、幼儿园建筑设计规范》（JGJ39-2016）</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4</w:t>
      </w:r>
      <w:r>
        <w:rPr>
          <w:rFonts w:hint="eastAsia" w:ascii="宋体" w:hAnsi="宋体" w:eastAsia="宋体" w:cs="Times New Roman"/>
          <w:sz w:val="24"/>
          <w:szCs w:val="24"/>
        </w:rPr>
        <w:t>）《幼儿园建设标准》（建标175-2016）</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w:t>
      </w:r>
      <w:r>
        <w:rPr>
          <w:rFonts w:ascii="宋体" w:hAnsi="宋体" w:eastAsia="宋体" w:cs="Times New Roman"/>
          <w:sz w:val="24"/>
          <w:szCs w:val="24"/>
        </w:rPr>
        <w:t>5</w:t>
      </w:r>
      <w:r>
        <w:rPr>
          <w:rFonts w:hint="eastAsia" w:ascii="宋体" w:hAnsi="宋体" w:eastAsia="宋体" w:cs="Times New Roman"/>
          <w:sz w:val="24"/>
          <w:szCs w:val="24"/>
        </w:rPr>
        <w:t>）《惠州市城乡规划管理技术规定》（202</w:t>
      </w:r>
      <w:r>
        <w:rPr>
          <w:rFonts w:ascii="宋体" w:hAnsi="宋体" w:eastAsia="宋体" w:cs="Times New Roman"/>
          <w:sz w:val="24"/>
          <w:szCs w:val="24"/>
        </w:rPr>
        <w:t>3</w:t>
      </w:r>
      <w:r>
        <w:rPr>
          <w:rFonts w:hint="eastAsia" w:ascii="宋体" w:hAnsi="宋体" w:eastAsia="宋体" w:cs="Times New Roman"/>
          <w:sz w:val="24"/>
          <w:szCs w:val="24"/>
        </w:rPr>
        <w:t>年）</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6</w:t>
      </w:r>
      <w:r>
        <w:rPr>
          <w:rFonts w:hint="eastAsia" w:ascii="宋体" w:hAnsi="宋体" w:eastAsia="宋体" w:cs="Times New Roman"/>
          <w:color w:val="000000" w:themeColor="text1"/>
          <w:sz w:val="24"/>
          <w:szCs w:val="24"/>
          <w14:textFill>
            <w14:solidFill>
              <w14:schemeClr w14:val="tx1"/>
            </w14:solidFill>
          </w14:textFill>
        </w:rPr>
        <w:t>）《中共中央国务院关于学前教育深化改革规范发展的若干意见》（中发〔2018〕39号）</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7</w:t>
      </w:r>
      <w:r>
        <w:rPr>
          <w:rFonts w:hint="eastAsia" w:ascii="宋体" w:hAnsi="宋体" w:eastAsia="宋体" w:cs="Times New Roman"/>
          <w:color w:val="000000" w:themeColor="text1"/>
          <w:sz w:val="24"/>
          <w:szCs w:val="24"/>
          <w14:textFill>
            <w14:solidFill>
              <w14:schemeClr w14:val="tx1"/>
            </w14:solidFill>
          </w14:textFill>
        </w:rPr>
        <w:t>）《县域学前教育普及普惠督导评估办法》（教督〔2020〕1号）</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8</w:t>
      </w:r>
      <w:r>
        <w:rPr>
          <w:rFonts w:hint="eastAsia" w:ascii="宋体" w:hAnsi="宋体" w:eastAsia="宋体" w:cs="Times New Roman"/>
          <w:color w:val="000000" w:themeColor="text1"/>
          <w:sz w:val="24"/>
          <w:szCs w:val="24"/>
          <w14:textFill>
            <w14:solidFill>
              <w14:schemeClr w14:val="tx1"/>
            </w14:solidFill>
          </w14:textFill>
        </w:rPr>
        <w:t>）《教育部等九部门关于印发</w:t>
      </w:r>
      <w:r>
        <w:rPr>
          <w:rFonts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Times New Roman"/>
          <w:color w:val="000000" w:themeColor="text1"/>
          <w:sz w:val="24"/>
          <w:szCs w:val="24"/>
          <w14:textFill>
            <w14:solidFill>
              <w14:schemeClr w14:val="tx1"/>
            </w14:solidFill>
          </w14:textFill>
        </w:rPr>
        <w:t>“十四五”学前教育发展提升行动计划</w:t>
      </w:r>
      <w:r>
        <w:rPr>
          <w:rFonts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Times New Roman"/>
          <w:color w:val="000000" w:themeColor="text1"/>
          <w:sz w:val="24"/>
          <w:szCs w:val="24"/>
          <w14:textFill>
            <w14:solidFill>
              <w14:schemeClr w14:val="tx1"/>
            </w14:solidFill>
          </w14:textFill>
        </w:rPr>
        <w:t>和</w:t>
      </w:r>
      <w:r>
        <w:rPr>
          <w:rFonts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Times New Roman"/>
          <w:color w:val="000000" w:themeColor="text1"/>
          <w:sz w:val="24"/>
          <w:szCs w:val="24"/>
          <w14:textFill>
            <w14:solidFill>
              <w14:schemeClr w14:val="tx1"/>
            </w14:solidFill>
          </w14:textFill>
        </w:rPr>
        <w:t>“十四五”县域普通高中发展提升行动计划</w:t>
      </w:r>
      <w:r>
        <w:rPr>
          <w:rFonts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Times New Roman"/>
          <w:color w:val="000000" w:themeColor="text1"/>
          <w:sz w:val="24"/>
          <w:szCs w:val="24"/>
          <w14:textFill>
            <w14:solidFill>
              <w14:schemeClr w14:val="tx1"/>
            </w14:solidFill>
          </w14:textFill>
        </w:rPr>
        <w:t>的通知》（教基〔</w:t>
      </w:r>
      <w:r>
        <w:rPr>
          <w:rFonts w:ascii="宋体" w:hAnsi="宋体" w:eastAsia="宋体" w:cs="Times New Roman"/>
          <w:color w:val="000000" w:themeColor="text1"/>
          <w:sz w:val="24"/>
          <w:szCs w:val="24"/>
          <w14:textFill>
            <w14:solidFill>
              <w14:schemeClr w14:val="tx1"/>
            </w14:solidFill>
          </w14:textFill>
        </w:rPr>
        <w:t>2021〕8号</w:t>
      </w:r>
      <w:r>
        <w:rPr>
          <w:rFonts w:hint="eastAsia" w:ascii="宋体" w:hAnsi="宋体" w:eastAsia="宋体" w:cs="Times New Roman"/>
          <w:color w:val="000000" w:themeColor="text1"/>
          <w:sz w:val="24"/>
          <w:szCs w:val="24"/>
          <w14:textFill>
            <w14:solidFill>
              <w14:schemeClr w14:val="tx1"/>
            </w14:solidFill>
          </w14:textFill>
        </w:rPr>
        <w:t>）</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9</w:t>
      </w:r>
      <w:r>
        <w:rPr>
          <w:rFonts w:hint="eastAsia" w:ascii="宋体" w:hAnsi="宋体" w:eastAsia="宋体" w:cs="Times New Roman"/>
          <w:color w:val="000000" w:themeColor="text1"/>
          <w:sz w:val="24"/>
          <w:szCs w:val="24"/>
          <w14:textFill>
            <w14:solidFill>
              <w14:schemeClr w14:val="tx1"/>
            </w14:solidFill>
          </w14:textFill>
        </w:rPr>
        <w:t>）《关于印发广东省促进学前教育普惠健康发展行动方案和广东省推动义务教育优质均衡发展行动方案的通知》</w:t>
      </w:r>
      <w:bookmarkStart w:id="14" w:name="OLE_LINK26"/>
      <w:bookmarkStart w:id="15" w:name="OLE_LINK15"/>
      <w:r>
        <w:rPr>
          <w:rFonts w:hint="eastAsia" w:ascii="宋体" w:hAnsi="宋体" w:eastAsia="宋体" w:cs="Times New Roman"/>
          <w:color w:val="000000" w:themeColor="text1"/>
          <w:sz w:val="24"/>
          <w:szCs w:val="24"/>
          <w14:textFill>
            <w14:solidFill>
              <w14:schemeClr w14:val="tx1"/>
            </w14:solidFill>
          </w14:textFill>
        </w:rPr>
        <w:t>（粤府办〔2018〕28号）</w:t>
      </w:r>
      <w:bookmarkEnd w:id="14"/>
      <w:bookmarkEnd w:id="15"/>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10</w:t>
      </w:r>
      <w:r>
        <w:rPr>
          <w:rFonts w:hint="eastAsia" w:ascii="宋体" w:hAnsi="宋体" w:eastAsia="宋体" w:cs="Times New Roman"/>
          <w:color w:val="000000" w:themeColor="text1"/>
          <w:sz w:val="24"/>
          <w:szCs w:val="24"/>
          <w14:textFill>
            <w14:solidFill>
              <w14:schemeClr w14:val="tx1"/>
            </w14:solidFill>
          </w14:textFill>
        </w:rPr>
        <w:t>）《广东省教育厅等六部门关于印发</w:t>
      </w:r>
      <w:r>
        <w:rPr>
          <w:rFonts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Times New Roman"/>
          <w:color w:val="000000" w:themeColor="text1"/>
          <w:sz w:val="24"/>
          <w:szCs w:val="24"/>
          <w14:textFill>
            <w14:solidFill>
              <w14:schemeClr w14:val="tx1"/>
            </w14:solidFill>
          </w14:textFill>
        </w:rPr>
        <w:t>广东省普惠性民办幼儿园认定、扶持和管理的办法</w:t>
      </w:r>
      <w:r>
        <w:rPr>
          <w:rFonts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Times New Roman"/>
          <w:color w:val="000000" w:themeColor="text1"/>
          <w:sz w:val="24"/>
          <w:szCs w:val="24"/>
          <w14:textFill>
            <w14:solidFill>
              <w14:schemeClr w14:val="tx1"/>
            </w14:solidFill>
          </w14:textFill>
        </w:rPr>
        <w:t>的通知》（粤教基〔2022〕21号）</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（1</w:t>
      </w:r>
      <w:r>
        <w:rPr>
          <w:rFonts w:ascii="宋体" w:hAnsi="宋体" w:eastAsia="宋体" w:cs="Times New Roman"/>
          <w:color w:val="000000" w:themeColor="text1"/>
          <w:sz w:val="24"/>
          <w:szCs w:val="24"/>
          <w14:textFill>
            <w14:solidFill>
              <w14:schemeClr w14:val="tx1"/>
            </w14:solidFill>
          </w14:textFill>
        </w:rPr>
        <w:t>1</w:t>
      </w:r>
      <w:r>
        <w:rPr>
          <w:rFonts w:hint="eastAsia" w:ascii="宋体" w:hAnsi="宋体" w:eastAsia="宋体" w:cs="Times New Roman"/>
          <w:color w:val="000000" w:themeColor="text1"/>
          <w:sz w:val="24"/>
          <w:szCs w:val="24"/>
          <w14:textFill>
            <w14:solidFill>
              <w14:schemeClr w14:val="tx1"/>
            </w14:solidFill>
          </w14:textFill>
        </w:rPr>
        <w:t>）《广东省教育厅等六部门关于印发</w:t>
      </w:r>
      <w:r>
        <w:rPr>
          <w:rFonts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Times New Roman"/>
          <w:color w:val="000000" w:themeColor="text1"/>
          <w:sz w:val="24"/>
          <w:szCs w:val="24"/>
          <w14:textFill>
            <w14:solidFill>
              <w14:schemeClr w14:val="tx1"/>
            </w14:solidFill>
          </w14:textFill>
        </w:rPr>
        <w:t>广东省加强住宅小区配套幼儿园建设和管理工作的指导意见</w:t>
      </w:r>
      <w:r>
        <w:rPr>
          <w:rFonts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Times New Roman"/>
          <w:color w:val="000000" w:themeColor="text1"/>
          <w:sz w:val="24"/>
          <w:szCs w:val="24"/>
          <w14:textFill>
            <w14:solidFill>
              <w14:schemeClr w14:val="tx1"/>
            </w14:solidFill>
          </w14:textFill>
        </w:rPr>
        <w:t>的通知》（粤教基〔2022〕33号）</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（1</w:t>
      </w:r>
      <w:r>
        <w:rPr>
          <w:rFonts w:ascii="宋体" w:hAnsi="宋体" w:eastAsia="宋体" w:cs="Times New Roman"/>
          <w:color w:val="000000" w:themeColor="text1"/>
          <w:sz w:val="24"/>
          <w:szCs w:val="24"/>
          <w14:textFill>
            <w14:solidFill>
              <w14:schemeClr w14:val="tx1"/>
            </w14:solidFill>
          </w14:textFill>
        </w:rPr>
        <w:t>2</w:t>
      </w:r>
      <w:r>
        <w:rPr>
          <w:rFonts w:hint="eastAsia" w:ascii="宋体" w:hAnsi="宋体" w:eastAsia="宋体" w:cs="Times New Roman"/>
          <w:color w:val="000000" w:themeColor="text1"/>
          <w:sz w:val="24"/>
          <w:szCs w:val="24"/>
          <w14:textFill>
            <w14:solidFill>
              <w14:schemeClr w14:val="tx1"/>
            </w14:solidFill>
          </w14:textFill>
        </w:rPr>
        <w:t>）《广东省教育厅关于印发</w:t>
      </w:r>
      <w:r>
        <w:rPr>
          <w:rFonts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Times New Roman"/>
          <w:color w:val="000000" w:themeColor="text1"/>
          <w:sz w:val="24"/>
          <w:szCs w:val="24"/>
          <w14:textFill>
            <w14:solidFill>
              <w14:schemeClr w14:val="tx1"/>
            </w14:solidFill>
          </w14:textFill>
        </w:rPr>
        <w:t>广东省幼儿园办园指南</w:t>
      </w:r>
      <w:r>
        <w:rPr>
          <w:rFonts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Times New Roman"/>
          <w:color w:val="000000" w:themeColor="text1"/>
          <w:sz w:val="24"/>
          <w:szCs w:val="24"/>
          <w14:textFill>
            <w14:solidFill>
              <w14:schemeClr w14:val="tx1"/>
            </w14:solidFill>
          </w14:textFill>
        </w:rPr>
        <w:t>的通知》（粤教基〔2023〕4号）</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13</w:t>
      </w:r>
      <w:r>
        <w:rPr>
          <w:rFonts w:hint="eastAsia" w:ascii="宋体" w:hAnsi="宋体" w:eastAsia="宋体" w:cs="Times New Roman"/>
          <w:color w:val="000000" w:themeColor="text1"/>
          <w:sz w:val="24"/>
          <w:szCs w:val="24"/>
          <w14:textFill>
            <w14:solidFill>
              <w14:schemeClr w14:val="tx1"/>
            </w14:solidFill>
          </w14:textFill>
        </w:rPr>
        <w:t>）《广东省人民政府办公厅关于增加幼儿园中小学学位和优质教育资源供给的意见》（粤府办〔</w:t>
      </w:r>
      <w:r>
        <w:rPr>
          <w:rFonts w:ascii="宋体" w:hAnsi="宋体" w:eastAsia="宋体" w:cs="Times New Roman"/>
          <w:color w:val="000000" w:themeColor="text1"/>
          <w:sz w:val="24"/>
          <w:szCs w:val="24"/>
          <w14:textFill>
            <w14:solidFill>
              <w14:schemeClr w14:val="tx1"/>
            </w14:solidFill>
          </w14:textFill>
        </w:rPr>
        <w:t>2017</w:t>
      </w: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67</w:t>
      </w:r>
      <w:r>
        <w:rPr>
          <w:rFonts w:hint="eastAsia" w:ascii="宋体" w:hAnsi="宋体" w:eastAsia="宋体" w:cs="Times New Roman"/>
          <w:color w:val="000000" w:themeColor="text1"/>
          <w:sz w:val="24"/>
          <w:szCs w:val="24"/>
          <w14:textFill>
            <w14:solidFill>
              <w14:schemeClr w14:val="tx1"/>
            </w14:solidFill>
          </w14:textFill>
        </w:rPr>
        <w:t>号）</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14</w:t>
      </w:r>
      <w:r>
        <w:rPr>
          <w:rFonts w:hint="eastAsia" w:ascii="宋体" w:hAnsi="宋体" w:eastAsia="宋体" w:cs="Times New Roman"/>
          <w:color w:val="000000" w:themeColor="text1"/>
          <w:sz w:val="24"/>
          <w:szCs w:val="24"/>
          <w14:textFill>
            <w14:solidFill>
              <w14:schemeClr w14:val="tx1"/>
            </w14:solidFill>
          </w14:textFill>
        </w:rPr>
        <w:t>）《惠州市教育局等九部门关于印发</w:t>
      </w:r>
      <w:r>
        <w:rPr>
          <w:rFonts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Times New Roman"/>
          <w:color w:val="000000" w:themeColor="text1"/>
          <w:sz w:val="24"/>
          <w:szCs w:val="24"/>
          <w14:textFill>
            <w14:solidFill>
              <w14:schemeClr w14:val="tx1"/>
            </w14:solidFill>
          </w14:textFill>
        </w:rPr>
        <w:t>惠州市“十四五”学前教育发展提升行动计划</w:t>
      </w:r>
      <w:r>
        <w:rPr>
          <w:rFonts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Times New Roman"/>
          <w:color w:val="000000" w:themeColor="text1"/>
          <w:sz w:val="24"/>
          <w:szCs w:val="24"/>
          <w14:textFill>
            <w14:solidFill>
              <w14:schemeClr w14:val="tx1"/>
            </w14:solidFill>
          </w14:textFill>
        </w:rPr>
        <w:t>的通知》（惠市教基〔202</w:t>
      </w:r>
      <w:r>
        <w:rPr>
          <w:rFonts w:ascii="宋体" w:hAnsi="宋体" w:eastAsia="宋体" w:cs="Times New Roman"/>
          <w:color w:val="000000" w:themeColor="text1"/>
          <w:sz w:val="24"/>
          <w:szCs w:val="24"/>
          <w14:textFill>
            <w14:solidFill>
              <w14:schemeClr w14:val="tx1"/>
            </w14:solidFill>
          </w14:textFill>
        </w:rPr>
        <w:t>3</w:t>
      </w: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6</w:t>
      </w:r>
      <w:r>
        <w:rPr>
          <w:rFonts w:hint="eastAsia" w:ascii="宋体" w:hAnsi="宋体" w:eastAsia="宋体" w:cs="Times New Roman"/>
          <w:color w:val="000000" w:themeColor="text1"/>
          <w:sz w:val="24"/>
          <w:szCs w:val="24"/>
          <w14:textFill>
            <w14:solidFill>
              <w14:schemeClr w14:val="tx1"/>
            </w14:solidFill>
          </w14:textFill>
        </w:rPr>
        <w:t>号）</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（1</w:t>
      </w:r>
      <w:r>
        <w:rPr>
          <w:rFonts w:ascii="宋体" w:hAnsi="宋体" w:eastAsia="宋体" w:cs="Times New Roman"/>
          <w:color w:val="000000" w:themeColor="text1"/>
          <w:sz w:val="24"/>
          <w:szCs w:val="24"/>
          <w14:textFill>
            <w14:solidFill>
              <w14:schemeClr w14:val="tx1"/>
            </w14:solidFill>
          </w14:textFill>
        </w:rPr>
        <w:t>5</w:t>
      </w:r>
      <w:r>
        <w:rPr>
          <w:rFonts w:hint="eastAsia" w:ascii="宋体" w:hAnsi="宋体" w:eastAsia="宋体" w:cs="Times New Roman"/>
          <w:color w:val="000000" w:themeColor="text1"/>
          <w:sz w:val="24"/>
          <w:szCs w:val="24"/>
          <w14:textFill>
            <w14:solidFill>
              <w14:schemeClr w14:val="tx1"/>
            </w14:solidFill>
          </w14:textFill>
        </w:rPr>
        <w:t>）《关于印发</w:t>
      </w:r>
      <w:r>
        <w:rPr>
          <w:rFonts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Times New Roman"/>
          <w:color w:val="000000" w:themeColor="text1"/>
          <w:sz w:val="24"/>
          <w:szCs w:val="24"/>
          <w14:textFill>
            <w14:solidFill>
              <w14:schemeClr w14:val="tx1"/>
            </w14:solidFill>
          </w14:textFill>
        </w:rPr>
        <w:t>惠州市贯彻落实《广东省“民生十大工程”五年行动计划教育领域实施方案（2023-2027年）》的工作方案</w:t>
      </w:r>
      <w:r>
        <w:rPr>
          <w:rFonts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Times New Roman"/>
          <w:color w:val="000000" w:themeColor="text1"/>
          <w:sz w:val="24"/>
          <w:szCs w:val="24"/>
          <w14:textFill>
            <w14:solidFill>
              <w14:schemeClr w14:val="tx1"/>
            </w14:solidFill>
          </w14:textFill>
        </w:rPr>
        <w:t>的通知》（惠市教基〔20</w:t>
      </w:r>
      <w:r>
        <w:rPr>
          <w:rFonts w:ascii="宋体" w:hAnsi="宋体" w:eastAsia="宋体" w:cs="Times New Roman"/>
          <w:color w:val="000000" w:themeColor="text1"/>
          <w:sz w:val="24"/>
          <w:szCs w:val="24"/>
          <w14:textFill>
            <w14:solidFill>
              <w14:schemeClr w14:val="tx1"/>
            </w14:solidFill>
          </w14:textFill>
        </w:rPr>
        <w:t>23</w:t>
      </w: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6</w:t>
      </w:r>
      <w:r>
        <w:rPr>
          <w:rFonts w:hint="eastAsia" w:ascii="宋体" w:hAnsi="宋体" w:eastAsia="宋体" w:cs="Times New Roman"/>
          <w:color w:val="000000" w:themeColor="text1"/>
          <w:sz w:val="24"/>
          <w:szCs w:val="24"/>
          <w14:textFill>
            <w14:solidFill>
              <w14:schemeClr w14:val="tx1"/>
            </w14:solidFill>
          </w14:textFill>
        </w:rPr>
        <w:t>号）</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（1</w:t>
      </w:r>
      <w:r>
        <w:rPr>
          <w:rFonts w:ascii="宋体" w:hAnsi="宋体" w:eastAsia="宋体" w:cs="Times New Roman"/>
          <w:color w:val="000000" w:themeColor="text1"/>
          <w:sz w:val="24"/>
          <w:szCs w:val="24"/>
          <w14:textFill>
            <w14:solidFill>
              <w14:schemeClr w14:val="tx1"/>
            </w14:solidFill>
          </w14:textFill>
        </w:rPr>
        <w:t>6</w:t>
      </w:r>
      <w:r>
        <w:rPr>
          <w:rFonts w:hint="eastAsia" w:ascii="宋体" w:hAnsi="宋体" w:eastAsia="宋体" w:cs="Times New Roman"/>
          <w:color w:val="000000" w:themeColor="text1"/>
          <w:sz w:val="24"/>
          <w:szCs w:val="24"/>
          <w14:textFill>
            <w14:solidFill>
              <w14:schemeClr w14:val="tx1"/>
            </w14:solidFill>
          </w14:textFill>
        </w:rPr>
        <w:t>）《关于印发</w:t>
      </w:r>
      <w:r>
        <w:rPr>
          <w:rFonts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Times New Roman"/>
          <w:color w:val="000000" w:themeColor="text1"/>
          <w:sz w:val="24"/>
          <w:szCs w:val="24"/>
          <w14:textFill>
            <w14:solidFill>
              <w14:schemeClr w14:val="tx1"/>
            </w14:solidFill>
          </w14:textFill>
        </w:rPr>
        <w:t>大亚湾开发区小区配套幼儿园回收遴选工作方案(试行)</w:t>
      </w:r>
      <w:r>
        <w:rPr>
          <w:rFonts w:ascii="宋体" w:hAnsi="宋体" w:eastAsia="宋体" w:cs="Times New Roman"/>
          <w:color w:val="000000" w:themeColor="text1"/>
          <w:sz w:val="24"/>
          <w:szCs w:val="24"/>
          <w14:textFill>
            <w14:solidFill>
              <w14:schemeClr w14:val="tx1"/>
            </w14:solidFill>
          </w14:textFill>
        </w:rPr>
        <w:t>〉</w:t>
      </w:r>
      <w:r>
        <w:rPr>
          <w:rFonts w:hint="eastAsia" w:ascii="宋体" w:hAnsi="宋体" w:eastAsia="宋体" w:cs="Times New Roman"/>
          <w:color w:val="000000" w:themeColor="text1"/>
          <w:sz w:val="24"/>
          <w:szCs w:val="24"/>
          <w14:textFill>
            <w14:solidFill>
              <w14:schemeClr w14:val="tx1"/>
            </w14:solidFill>
          </w14:textFill>
        </w:rPr>
        <w:t>的通知》（惠湾教文卫〔</w:t>
      </w:r>
      <w:r>
        <w:rPr>
          <w:rFonts w:ascii="宋体" w:hAnsi="宋体" w:eastAsia="宋体" w:cs="Times New Roman"/>
          <w:color w:val="000000" w:themeColor="text1"/>
          <w:sz w:val="24"/>
          <w:szCs w:val="24"/>
          <w14:textFill>
            <w14:solidFill>
              <w14:schemeClr w14:val="tx1"/>
            </w14:solidFill>
          </w14:textFill>
        </w:rPr>
        <w:t>2024</w:t>
      </w:r>
      <w:r>
        <w:rPr>
          <w:rFonts w:hint="eastAsia" w:ascii="宋体" w:hAnsi="宋体" w:eastAsia="宋体" w:cs="Times New Roman"/>
          <w:color w:val="000000" w:themeColor="text1"/>
          <w:sz w:val="24"/>
          <w:szCs w:val="24"/>
          <w14:textFill>
            <w14:solidFill>
              <w14:schemeClr w14:val="tx1"/>
            </w14:solidFill>
          </w14:textFill>
        </w:rPr>
        <w:t>〕</w:t>
      </w:r>
      <w:r>
        <w:rPr>
          <w:rFonts w:ascii="宋体" w:hAnsi="宋体" w:eastAsia="宋体" w:cs="Times New Roman"/>
          <w:color w:val="000000" w:themeColor="text1"/>
          <w:sz w:val="24"/>
          <w:szCs w:val="24"/>
          <w14:textFill>
            <w14:solidFill>
              <w14:schemeClr w14:val="tx1"/>
            </w14:solidFill>
          </w14:textFill>
        </w:rPr>
        <w:t>185</w:t>
      </w:r>
      <w:r>
        <w:rPr>
          <w:rFonts w:hint="eastAsia" w:ascii="宋体" w:hAnsi="宋体" w:eastAsia="宋体" w:cs="Times New Roman"/>
          <w:color w:val="000000" w:themeColor="text1"/>
          <w:sz w:val="24"/>
          <w:szCs w:val="24"/>
          <w14:textFill>
            <w14:solidFill>
              <w14:schemeClr w14:val="tx1"/>
            </w14:solidFill>
          </w14:textFill>
        </w:rPr>
        <w:t>号）</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7</w:t>
      </w:r>
      <w:r>
        <w:rPr>
          <w:rFonts w:hint="eastAsia" w:ascii="宋体" w:hAnsi="宋体" w:eastAsia="宋体" w:cs="Times New Roman"/>
          <w:sz w:val="24"/>
          <w:szCs w:val="24"/>
        </w:rPr>
        <w:t>）其他国家、省、市相关规范和标准</w:t>
      </w:r>
    </w:p>
    <w:p>
      <w:pPr>
        <w:pStyle w:val="4"/>
        <w:numPr>
          <w:ilvl w:val="0"/>
          <w:numId w:val="2"/>
        </w:numPr>
        <w:spacing w:before="100" w:after="100" w:line="460" w:lineRule="exact"/>
        <w:jc w:val="left"/>
        <w:rPr>
          <w:rFonts w:ascii="Arial" w:hAnsi="Arial" w:eastAsia="宋体" w:cs="Times New Roman"/>
          <w:sz w:val="28"/>
        </w:rPr>
      </w:pPr>
      <w:r>
        <w:rPr>
          <w:rFonts w:hint="eastAsia" w:ascii="Arial" w:hAnsi="Arial" w:eastAsia="宋体" w:cs="Times New Roman"/>
          <w:sz w:val="28"/>
        </w:rPr>
        <w:t>规划期限</w:t>
      </w:r>
    </w:p>
    <w:p>
      <w:pPr>
        <w:spacing w:line="360" w:lineRule="auto"/>
        <w:ind w:firstLine="480" w:firstLineChars="200"/>
        <w:rPr>
          <w:rFonts w:ascii="宋体" w:hAnsi="宋体" w:eastAsia="宋体" w:cs="Times New Roman"/>
          <w:sz w:val="24"/>
          <w:szCs w:val="24"/>
        </w:rPr>
      </w:pPr>
      <w:bookmarkStart w:id="16" w:name="OLE_LINK17"/>
      <w:bookmarkStart w:id="17" w:name="OLE_LINK18"/>
      <w:r>
        <w:rPr>
          <w:rFonts w:hint="eastAsia" w:ascii="宋体" w:hAnsi="宋体" w:eastAsia="宋体" w:cs="Times New Roman"/>
          <w:sz w:val="24"/>
          <w:szCs w:val="24"/>
        </w:rPr>
        <w:t>本次规划期限为2024-2035年，其中：</w:t>
      </w:r>
      <w:bookmarkStart w:id="18" w:name="OLE_LINK19"/>
      <w:bookmarkStart w:id="19" w:name="OLE_LINK20"/>
      <w:r>
        <w:rPr>
          <w:rFonts w:hint="eastAsia" w:ascii="宋体" w:hAnsi="宋体" w:eastAsia="宋体" w:cs="Times New Roman"/>
          <w:sz w:val="24"/>
          <w:szCs w:val="24"/>
        </w:rPr>
        <w:t>基年</w:t>
      </w:r>
      <w:r>
        <w:rPr>
          <w:rFonts w:ascii="宋体" w:hAnsi="宋体" w:eastAsia="宋体" w:cs="Times New Roman"/>
          <w:sz w:val="24"/>
          <w:szCs w:val="24"/>
        </w:rPr>
        <w:t>202</w:t>
      </w:r>
      <w:r>
        <w:rPr>
          <w:rFonts w:hint="eastAsia" w:ascii="宋体" w:hAnsi="宋体" w:eastAsia="宋体" w:cs="Times New Roman"/>
          <w:sz w:val="24"/>
          <w:szCs w:val="24"/>
        </w:rPr>
        <w:t>3</w:t>
      </w:r>
      <w:r>
        <w:rPr>
          <w:rFonts w:ascii="宋体" w:hAnsi="宋体" w:eastAsia="宋体" w:cs="Times New Roman"/>
          <w:sz w:val="24"/>
          <w:szCs w:val="24"/>
        </w:rPr>
        <w:t>年；近期</w:t>
      </w:r>
      <w:r>
        <w:rPr>
          <w:rFonts w:hint="eastAsia" w:ascii="宋体" w:hAnsi="宋体" w:eastAsia="宋体" w:cs="Times New Roman"/>
          <w:sz w:val="24"/>
          <w:szCs w:val="24"/>
        </w:rPr>
        <w:t>2024-2030年</w:t>
      </w:r>
      <w:r>
        <w:rPr>
          <w:rFonts w:ascii="宋体" w:hAnsi="宋体" w:eastAsia="宋体" w:cs="Times New Roman"/>
          <w:sz w:val="24"/>
          <w:szCs w:val="24"/>
        </w:rPr>
        <w:t>；远期</w:t>
      </w:r>
      <w:r>
        <w:rPr>
          <w:rFonts w:hint="eastAsia" w:ascii="宋体" w:hAnsi="宋体" w:eastAsia="宋体" w:cs="Times New Roman"/>
          <w:sz w:val="24"/>
          <w:szCs w:val="24"/>
        </w:rPr>
        <w:t>2031-2035年</w:t>
      </w:r>
      <w:r>
        <w:rPr>
          <w:rFonts w:ascii="宋体" w:hAnsi="宋体" w:eastAsia="宋体" w:cs="Times New Roman"/>
          <w:sz w:val="24"/>
          <w:szCs w:val="24"/>
        </w:rPr>
        <w:t>。</w:t>
      </w:r>
    </w:p>
    <w:bookmarkEnd w:id="16"/>
    <w:bookmarkEnd w:id="17"/>
    <w:bookmarkEnd w:id="18"/>
    <w:bookmarkEnd w:id="19"/>
    <w:p>
      <w:pPr>
        <w:pStyle w:val="4"/>
        <w:numPr>
          <w:ilvl w:val="0"/>
          <w:numId w:val="2"/>
        </w:numPr>
        <w:spacing w:before="100" w:after="100" w:line="460" w:lineRule="exact"/>
        <w:jc w:val="left"/>
        <w:rPr>
          <w:rFonts w:ascii="Arial" w:hAnsi="Arial" w:eastAsia="宋体" w:cs="Times New Roman"/>
          <w:color w:val="000000" w:themeColor="text1"/>
          <w:sz w:val="28"/>
          <w14:textFill>
            <w14:solidFill>
              <w14:schemeClr w14:val="tx1"/>
            </w14:solidFill>
          </w14:textFill>
        </w:rPr>
      </w:pPr>
      <w:r>
        <w:rPr>
          <w:rFonts w:hint="eastAsia" w:ascii="Arial" w:hAnsi="Arial" w:eastAsia="宋体" w:cs="Times New Roman"/>
          <w:color w:val="000000" w:themeColor="text1"/>
          <w:sz w:val="28"/>
          <w14:textFill>
            <w14:solidFill>
              <w14:schemeClr w14:val="tx1"/>
            </w14:solidFill>
          </w14:textFill>
        </w:rPr>
        <w:t>规划原则</w:t>
      </w:r>
    </w:p>
    <w:p>
      <w:pPr>
        <w:pStyle w:val="24"/>
        <w:numPr>
          <w:ilvl w:val="0"/>
          <w:numId w:val="3"/>
        </w:numPr>
        <w:spacing w:line="360" w:lineRule="auto"/>
        <w:ind w:firstLineChars="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合理布局</w:t>
      </w:r>
    </w:p>
    <w:p>
      <w:pPr>
        <w:spacing w:line="360" w:lineRule="auto"/>
        <w:ind w:firstLine="480" w:firstLineChars="200"/>
        <w:rPr>
          <w:rFonts w:ascii="宋体" w:hAnsi="宋体" w:eastAsia="宋体" w:cs="Times New Roman"/>
          <w:color w:val="000000" w:themeColor="text1"/>
          <w:sz w:val="24"/>
          <w:szCs w:val="24"/>
          <w14:textFill>
            <w14:solidFill>
              <w14:schemeClr w14:val="tx1"/>
            </w14:solidFill>
          </w14:textFill>
        </w:rPr>
      </w:pPr>
      <w:bookmarkStart w:id="20" w:name="OLE_LINK30"/>
      <w:bookmarkStart w:id="21" w:name="OLE_LINK31"/>
      <w:r>
        <w:rPr>
          <w:rFonts w:hint="eastAsia" w:ascii="宋体" w:hAnsi="宋体" w:eastAsia="宋体" w:cs="Times New Roman"/>
          <w:color w:val="000000" w:themeColor="text1"/>
          <w:sz w:val="24"/>
          <w:szCs w:val="24"/>
          <w14:textFill>
            <w14:solidFill>
              <w14:schemeClr w14:val="tx1"/>
            </w14:solidFill>
          </w14:textFill>
        </w:rPr>
        <w:t>综合考虑区内人口现状，科学预测人口发展变化趋势，合理规划布局幼儿园设施，为适龄幼儿提供方便就近、优质普惠的学前教育服务，以满足适龄儿童的教育需求，办好人民满意的教育。</w:t>
      </w:r>
    </w:p>
    <w:bookmarkEnd w:id="20"/>
    <w:bookmarkEnd w:id="21"/>
    <w:p>
      <w:pPr>
        <w:pStyle w:val="24"/>
        <w:numPr>
          <w:ilvl w:val="0"/>
          <w:numId w:val="3"/>
        </w:numPr>
        <w:spacing w:line="360" w:lineRule="auto"/>
        <w:ind w:firstLineChars="0"/>
        <w:rPr>
          <w:rFonts w:ascii="宋体" w:hAnsi="宋体" w:eastAsia="宋体" w:cs="Times New Roman"/>
          <w:color w:val="000000" w:themeColor="text1"/>
          <w:sz w:val="24"/>
          <w:szCs w:val="24"/>
          <w14:textFill>
            <w14:solidFill>
              <w14:schemeClr w14:val="tx1"/>
            </w14:solidFill>
          </w14:textFill>
        </w:rPr>
      </w:pPr>
      <w:r>
        <w:rPr>
          <w:rFonts w:hint="eastAsia" w:ascii="宋体" w:hAnsi="宋体" w:eastAsia="宋体" w:cs="Times New Roman"/>
          <w:color w:val="000000" w:themeColor="text1"/>
          <w:sz w:val="24"/>
          <w:szCs w:val="24"/>
          <w14:textFill>
            <w14:solidFill>
              <w14:schemeClr w14:val="tx1"/>
            </w14:solidFill>
          </w14:textFill>
        </w:rPr>
        <w:t>适度超前</w:t>
      </w:r>
    </w:p>
    <w:p>
      <w:pPr>
        <w:spacing w:line="360" w:lineRule="auto"/>
        <w:ind w:firstLine="480" w:firstLineChars="200"/>
        <w:rPr>
          <w:rFonts w:ascii="Arial" w:hAnsi="Arial" w:eastAsia="宋体" w:cs="Times New Roman"/>
          <w:b/>
          <w:bCs/>
          <w:sz w:val="28"/>
          <w:szCs w:val="32"/>
        </w:rPr>
      </w:pPr>
      <w:r>
        <w:rPr>
          <w:rFonts w:hint="eastAsia" w:ascii="宋体" w:hAnsi="宋体" w:eastAsia="宋体" w:cs="Times New Roman"/>
          <w:color w:val="000000" w:themeColor="text1"/>
          <w:sz w:val="24"/>
          <w:szCs w:val="24"/>
          <w14:textFill>
            <w14:solidFill>
              <w14:schemeClr w14:val="tx1"/>
            </w14:solidFill>
          </w14:textFill>
        </w:rPr>
        <w:t>立足新发展阶段，全面贯彻新发展理念，按照发展战略要求，基于大亚湾开发区实际情况，根据需求变化趋势适度超前布局幼儿园设施，加强幼儿园标准化建设，改善办园条件，提升办园品质，推进大亚湾开发区学前教育普及普惠安全优质发展。</w:t>
      </w:r>
    </w:p>
    <w:p>
      <w:pPr>
        <w:pStyle w:val="3"/>
        <w:keepNext w:val="0"/>
        <w:keepLines w:val="0"/>
        <w:numPr>
          <w:ilvl w:val="0"/>
          <w:numId w:val="1"/>
        </w:numPr>
        <w:spacing w:before="156" w:beforeLines="50" w:after="0" w:line="360" w:lineRule="auto"/>
        <w:jc w:val="center"/>
        <w:rPr>
          <w:rFonts w:ascii="Times New Roman" w:hAnsi="Times New Roman" w:eastAsia="黑体" w:cs="Times New Roman"/>
          <w:sz w:val="36"/>
        </w:rPr>
      </w:pPr>
      <w:bookmarkStart w:id="22" w:name="_Toc185583019"/>
      <w:r>
        <w:rPr>
          <w:rFonts w:hint="eastAsia" w:ascii="Times New Roman" w:hAnsi="Times New Roman" w:eastAsia="黑体" w:cs="Times New Roman"/>
          <w:sz w:val="36"/>
        </w:rPr>
        <w:t>总体目标与策略</w:t>
      </w:r>
      <w:bookmarkEnd w:id="22"/>
    </w:p>
    <w:p>
      <w:pPr>
        <w:pStyle w:val="4"/>
        <w:numPr>
          <w:ilvl w:val="0"/>
          <w:numId w:val="2"/>
        </w:numPr>
        <w:spacing w:before="100" w:after="100" w:line="460" w:lineRule="exact"/>
        <w:jc w:val="left"/>
        <w:rPr>
          <w:rFonts w:ascii="Arial" w:hAnsi="Arial" w:eastAsia="宋体" w:cs="Times New Roman"/>
          <w:sz w:val="28"/>
        </w:rPr>
      </w:pPr>
      <w:bookmarkStart w:id="23" w:name="OLE_LINK21"/>
      <w:r>
        <w:rPr>
          <w:rFonts w:hint="eastAsia" w:ascii="Arial" w:hAnsi="Arial" w:eastAsia="宋体" w:cs="Times New Roman"/>
          <w:sz w:val="28"/>
        </w:rPr>
        <w:t>总体目标</w:t>
      </w:r>
    </w:p>
    <w:bookmarkEnd w:id="23"/>
    <w:p>
      <w:pPr>
        <w:spacing w:line="360" w:lineRule="auto"/>
        <w:ind w:firstLine="480" w:firstLineChars="200"/>
        <w:rPr>
          <w:rFonts w:ascii="宋体" w:hAnsi="宋体" w:eastAsia="宋体" w:cs="Times New Roman"/>
          <w:sz w:val="24"/>
          <w:szCs w:val="24"/>
        </w:rPr>
      </w:pPr>
      <w:bookmarkStart w:id="24" w:name="OLE_LINK22"/>
      <w:bookmarkStart w:id="25" w:name="OLE_LINK23"/>
      <w:r>
        <w:rPr>
          <w:rFonts w:hint="eastAsia" w:ascii="宋体" w:hAnsi="宋体" w:eastAsia="宋体" w:cs="Times New Roman"/>
          <w:sz w:val="24"/>
          <w:szCs w:val="24"/>
        </w:rPr>
        <w:t>落实国家、广东省、惠州市关于学前教育发展工作要求，落实大亚湾国土空间规划，保障民生设施空间发展要求，建成广覆盖、保基本、有质量的学前教育公共服务体系。成功创建国家学前教育普及普惠区，助力大亚湾开发区成为“惠州建设更加幸福国内一流城市重要支撑区”。</w:t>
      </w:r>
    </w:p>
    <w:bookmarkEnd w:id="24"/>
    <w:bookmarkEnd w:id="25"/>
    <w:p>
      <w:pPr>
        <w:pStyle w:val="4"/>
        <w:numPr>
          <w:ilvl w:val="0"/>
          <w:numId w:val="2"/>
        </w:numPr>
        <w:spacing w:before="100" w:after="100" w:line="460" w:lineRule="exact"/>
        <w:jc w:val="left"/>
        <w:rPr>
          <w:rFonts w:ascii="Arial" w:hAnsi="Arial" w:eastAsia="宋体" w:cs="Times New Roman"/>
          <w:sz w:val="28"/>
        </w:rPr>
      </w:pPr>
      <w:r>
        <w:rPr>
          <w:rFonts w:hint="eastAsia" w:ascii="Arial" w:hAnsi="Arial" w:eastAsia="宋体" w:cs="Times New Roman"/>
          <w:sz w:val="28"/>
        </w:rPr>
        <w:t>发展策略</w:t>
      </w:r>
    </w:p>
    <w:p>
      <w:pPr>
        <w:spacing w:line="360" w:lineRule="auto"/>
        <w:ind w:firstLine="480" w:firstLineChars="200"/>
        <w:rPr>
          <w:rFonts w:ascii="宋体" w:hAnsi="宋体" w:eastAsia="宋体" w:cs="Times New Roman"/>
          <w:sz w:val="24"/>
          <w:szCs w:val="24"/>
        </w:rPr>
      </w:pPr>
      <w:bookmarkStart w:id="26" w:name="OLE_LINK25"/>
      <w:bookmarkStart w:id="27" w:name="OLE_LINK24"/>
      <w:r>
        <w:rPr>
          <w:rFonts w:hint="eastAsia" w:ascii="宋体" w:hAnsi="宋体" w:eastAsia="宋体" w:cs="Times New Roman"/>
          <w:sz w:val="24"/>
          <w:szCs w:val="24"/>
        </w:rPr>
        <w:t>（1）</w:t>
      </w:r>
      <w:r>
        <w:rPr>
          <w:rFonts w:ascii="宋体" w:hAnsi="宋体" w:eastAsia="宋体" w:cs="Times New Roman"/>
          <w:sz w:val="24"/>
          <w:szCs w:val="24"/>
        </w:rPr>
        <w:t>“补缺”：查漏补缺，补充学位</w:t>
      </w:r>
      <w:r>
        <w:rPr>
          <w:rFonts w:hint="eastAsia" w:ascii="宋体" w:hAnsi="宋体" w:eastAsia="宋体" w:cs="Times New Roman"/>
          <w:sz w:val="24"/>
          <w:szCs w:val="24"/>
        </w:rPr>
        <w:t>供给</w:t>
      </w:r>
      <w:r>
        <w:rPr>
          <w:rFonts w:ascii="宋体" w:hAnsi="宋体" w:eastAsia="宋体" w:cs="Times New Roman"/>
          <w:sz w:val="24"/>
          <w:szCs w:val="24"/>
        </w:rPr>
        <w:t>、满足</w:t>
      </w:r>
      <w:r>
        <w:rPr>
          <w:rFonts w:hint="eastAsia" w:ascii="宋体" w:hAnsi="宋体" w:eastAsia="宋体" w:cs="Times New Roman"/>
          <w:sz w:val="24"/>
          <w:szCs w:val="24"/>
        </w:rPr>
        <w:t>入学</w:t>
      </w:r>
      <w:r>
        <w:rPr>
          <w:rFonts w:ascii="宋体" w:hAnsi="宋体" w:eastAsia="宋体" w:cs="Times New Roman"/>
          <w:sz w:val="24"/>
          <w:szCs w:val="24"/>
        </w:rPr>
        <w:t>需求</w:t>
      </w:r>
      <w:r>
        <w:rPr>
          <w:rFonts w:hint="eastAsia" w:ascii="宋体" w:hAnsi="宋体" w:eastAsia="宋体" w:cs="Times New Roman"/>
          <w:sz w:val="24"/>
          <w:szCs w:val="24"/>
        </w:rPr>
        <w:t>。</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根据现状调研及各街座谈，整理学位紧缺需求。依据常住人口发展趋势及每千人</w:t>
      </w:r>
      <w:r>
        <w:rPr>
          <w:rFonts w:ascii="宋体" w:hAnsi="宋体" w:eastAsia="宋体" w:cs="Times New Roman"/>
          <w:sz w:val="24"/>
          <w:szCs w:val="24"/>
        </w:rPr>
        <w:t>40</w:t>
      </w:r>
      <w:r>
        <w:rPr>
          <w:rFonts w:hint="eastAsia" w:ascii="宋体" w:hAnsi="宋体" w:eastAsia="宋体" w:cs="Times New Roman"/>
          <w:sz w:val="24"/>
          <w:szCs w:val="24"/>
        </w:rPr>
        <w:t>座的标准测算幼儿园学位需求。</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“扫盲”：均衡布局，以300</w:t>
      </w:r>
      <w:r>
        <w:rPr>
          <w:rFonts w:hint="eastAsia" w:ascii="宋体" w:hAnsi="宋体" w:eastAsia="宋体" w:cs="Times New Roman"/>
          <w:sz w:val="24"/>
          <w:szCs w:val="24"/>
        </w:rPr>
        <w:t>米服务半径进行幼儿园服务盲点扫除。</w:t>
      </w:r>
    </w:p>
    <w:p>
      <w:pPr>
        <w:tabs>
          <w:tab w:val="left" w:pos="720"/>
        </w:tabs>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大亚湾现状幼儿园分布不均衡，300米服务半径内无法覆盖大亚湾现状居住用地，服务半径覆盖率整体偏低。其中澳头街道整体较为均衡，现状西区街道与霞涌街道覆盖率偏低。</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w:t>
      </w:r>
      <w:r>
        <w:rPr>
          <w:rFonts w:ascii="宋体" w:hAnsi="宋体" w:eastAsia="宋体" w:cs="Times New Roman"/>
          <w:sz w:val="24"/>
          <w:szCs w:val="24"/>
        </w:rPr>
        <w:t>“达标”</w:t>
      </w:r>
      <w:r>
        <w:rPr>
          <w:rFonts w:hint="eastAsia" w:ascii="宋体" w:hAnsi="宋体" w:eastAsia="宋体" w:cs="Times New Roman"/>
          <w:sz w:val="24"/>
          <w:szCs w:val="24"/>
        </w:rPr>
        <w:t>：标准建设，落实相关建设标准及普及普惠要求。</w:t>
      </w:r>
    </w:p>
    <w:p>
      <w:pPr>
        <w:tabs>
          <w:tab w:val="left" w:pos="720"/>
        </w:tabs>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严格按《托儿所、幼儿园建筑设计规范》（JGJ39-2016）《幼儿园建设标准》（建标175-2016）规划、设计和建设幼儿园，引导和支持2017年前建设和幼儿园按照以上建设标准完善办园条件，提升幼儿园设施品质。</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“提质”</w:t>
      </w:r>
      <w:r>
        <w:rPr>
          <w:rFonts w:hint="eastAsia" w:ascii="宋体" w:hAnsi="宋体" w:eastAsia="宋体" w:cs="Times New Roman"/>
          <w:sz w:val="24"/>
          <w:szCs w:val="24"/>
        </w:rPr>
        <w:t>：幼儿园提质，高标准建设学前教育设施。</w:t>
      </w:r>
    </w:p>
    <w:p>
      <w:pPr>
        <w:tabs>
          <w:tab w:val="left" w:pos="720"/>
        </w:tabs>
        <w:spacing w:line="360" w:lineRule="auto"/>
        <w:ind w:firstLine="480" w:firstLineChars="200"/>
      </w:pPr>
      <w:r>
        <w:rPr>
          <w:rFonts w:hint="eastAsia" w:ascii="宋体" w:hAnsi="宋体" w:eastAsia="宋体" w:cs="Times New Roman"/>
          <w:sz w:val="24"/>
          <w:szCs w:val="24"/>
        </w:rPr>
        <w:t>在“补缺”“扫盲”“达标”的基础上，积极提升办园质量，如按高标准新建幼儿园、引进优质教育资源等，与大亚湾开发区未来定位相契合，进一步提升大亚湾开发区教育品质与人居质量。</w:t>
      </w:r>
    </w:p>
    <w:bookmarkEnd w:id="26"/>
    <w:bookmarkEnd w:id="27"/>
    <w:p>
      <w:pPr>
        <w:widowControl/>
        <w:jc w:val="left"/>
      </w:pPr>
      <w:r>
        <w:br w:type="page"/>
      </w:r>
    </w:p>
    <w:p>
      <w:pPr>
        <w:pStyle w:val="3"/>
        <w:keepNext w:val="0"/>
        <w:keepLines w:val="0"/>
        <w:numPr>
          <w:ilvl w:val="0"/>
          <w:numId w:val="1"/>
        </w:numPr>
        <w:spacing w:before="156" w:beforeLines="50" w:after="0" w:line="360" w:lineRule="auto"/>
        <w:jc w:val="center"/>
        <w:rPr>
          <w:rFonts w:ascii="Times New Roman" w:hAnsi="Times New Roman" w:eastAsia="黑体" w:cs="Times New Roman"/>
          <w:sz w:val="36"/>
        </w:rPr>
      </w:pPr>
      <w:bookmarkStart w:id="28" w:name="_Toc185583020"/>
      <w:r>
        <w:rPr>
          <w:rFonts w:hint="eastAsia" w:ascii="Times New Roman" w:hAnsi="Times New Roman" w:eastAsia="黑体" w:cs="Times New Roman"/>
          <w:sz w:val="36"/>
        </w:rPr>
        <w:t>规划标准与需求预测</w:t>
      </w:r>
      <w:bookmarkEnd w:id="28"/>
    </w:p>
    <w:p>
      <w:pPr>
        <w:pStyle w:val="4"/>
        <w:numPr>
          <w:ilvl w:val="0"/>
          <w:numId w:val="2"/>
        </w:numPr>
        <w:spacing w:before="100" w:after="100" w:line="460" w:lineRule="exact"/>
        <w:jc w:val="left"/>
        <w:rPr>
          <w:rFonts w:ascii="Arial" w:hAnsi="Arial" w:eastAsia="宋体" w:cs="Times New Roman"/>
          <w:sz w:val="28"/>
        </w:rPr>
      </w:pPr>
      <w:r>
        <w:rPr>
          <w:rFonts w:hint="eastAsia" w:ascii="Arial" w:hAnsi="Arial" w:eastAsia="宋体" w:cs="Times New Roman"/>
          <w:sz w:val="28"/>
        </w:rPr>
        <w:t>幼儿园设施规划标准</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依据国家、省、市的标准，确定40座/千人。</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进一步引导和规范民办幼儿园规范办园，推进学前教育优质普惠安全发展。至2</w:t>
      </w:r>
      <w:r>
        <w:rPr>
          <w:rFonts w:ascii="宋体" w:hAnsi="宋体" w:eastAsia="宋体" w:cs="Times New Roman"/>
          <w:sz w:val="24"/>
          <w:szCs w:val="24"/>
        </w:rPr>
        <w:t>030</w:t>
      </w:r>
      <w:r>
        <w:rPr>
          <w:rFonts w:hint="eastAsia" w:ascii="宋体" w:hAnsi="宋体" w:eastAsia="宋体" w:cs="Times New Roman"/>
          <w:sz w:val="24"/>
          <w:szCs w:val="24"/>
        </w:rPr>
        <w:t>年，公办园和普惠性民办园在园幼儿占比达到</w:t>
      </w:r>
      <w:r>
        <w:rPr>
          <w:rFonts w:ascii="宋体" w:hAnsi="宋体" w:eastAsia="宋体" w:cs="Times New Roman"/>
          <w:sz w:val="24"/>
          <w:szCs w:val="24"/>
        </w:rPr>
        <w:t>90</w:t>
      </w:r>
      <w:r>
        <w:rPr>
          <w:rFonts w:hint="eastAsia" w:ascii="宋体" w:hAnsi="宋体" w:eastAsia="宋体" w:cs="Times New Roman"/>
          <w:sz w:val="24"/>
          <w:szCs w:val="24"/>
        </w:rPr>
        <w:t>%，公办园在园幼儿占比达到50%；至2035年，公办园和普惠性民办园在园幼儿占比达到</w:t>
      </w:r>
      <w:r>
        <w:rPr>
          <w:rFonts w:ascii="宋体" w:hAnsi="宋体" w:eastAsia="宋体" w:cs="Times New Roman"/>
          <w:sz w:val="24"/>
          <w:szCs w:val="24"/>
        </w:rPr>
        <w:t>95</w:t>
      </w:r>
      <w:r>
        <w:rPr>
          <w:rFonts w:hint="eastAsia" w:ascii="宋体" w:hAnsi="宋体" w:eastAsia="宋体" w:cs="Times New Roman"/>
          <w:sz w:val="24"/>
          <w:szCs w:val="24"/>
        </w:rPr>
        <w:t>%，公办园在园幼儿占比达到50%。</w:t>
      </w:r>
    </w:p>
    <w:p>
      <w:pPr>
        <w:pStyle w:val="4"/>
        <w:numPr>
          <w:ilvl w:val="0"/>
          <w:numId w:val="2"/>
        </w:numPr>
        <w:spacing w:before="100" w:after="100" w:line="460" w:lineRule="exact"/>
        <w:jc w:val="left"/>
        <w:rPr>
          <w:rFonts w:ascii="Arial" w:hAnsi="Arial" w:eastAsia="宋体" w:cs="Times New Roman"/>
          <w:sz w:val="28"/>
        </w:rPr>
      </w:pPr>
      <w:r>
        <w:rPr>
          <w:rFonts w:hint="eastAsia" w:ascii="Arial" w:hAnsi="Arial" w:eastAsia="宋体" w:cs="Times New Roman"/>
          <w:sz w:val="28"/>
        </w:rPr>
        <w:t>幼儿园设施需求预测</w:t>
      </w:r>
    </w:p>
    <w:p>
      <w:pPr>
        <w:spacing w:line="360" w:lineRule="auto"/>
        <w:ind w:firstLine="480" w:firstLineChars="200"/>
        <w:rPr>
          <w:rFonts w:hint="eastAsia" w:ascii="宋体" w:hAnsi="宋体" w:eastAsia="宋体" w:cs="Times New Roman"/>
          <w:sz w:val="24"/>
          <w:szCs w:val="24"/>
          <w:lang w:val="en-US" w:eastAsia="zh-CN"/>
        </w:rPr>
      </w:pPr>
      <w:r>
        <w:rPr>
          <w:rFonts w:hint="eastAsia" w:ascii="宋体" w:hAnsi="宋体" w:eastAsia="宋体" w:cs="Times New Roman"/>
          <w:sz w:val="24"/>
          <w:szCs w:val="24"/>
        </w:rPr>
        <w:t>本规划衔接《惠州市国土空间总体规划（</w:t>
      </w:r>
      <w:r>
        <w:rPr>
          <w:rFonts w:ascii="宋体" w:hAnsi="宋体" w:eastAsia="宋体" w:cs="Times New Roman"/>
          <w:sz w:val="24"/>
          <w:szCs w:val="24"/>
        </w:rPr>
        <w:t>2021-2035年）》规划期末的常住人口规模，即至2035年</w:t>
      </w:r>
      <w:r>
        <w:rPr>
          <w:rFonts w:hint="eastAsia" w:ascii="宋体" w:hAnsi="宋体" w:eastAsia="宋体" w:cs="Times New Roman"/>
          <w:sz w:val="24"/>
          <w:szCs w:val="24"/>
        </w:rPr>
        <w:t>大亚湾开发区常住人口</w:t>
      </w:r>
      <w:r>
        <w:rPr>
          <w:rFonts w:ascii="宋体" w:hAnsi="宋体" w:eastAsia="宋体" w:cs="Times New Roman"/>
          <w:sz w:val="24"/>
          <w:szCs w:val="24"/>
        </w:rPr>
        <w:t>80万人，实际管理人口110万人（含常住人口80万人），公共服务设施按常住人口配置</w:t>
      </w:r>
      <w:r>
        <w:rPr>
          <w:rFonts w:hint="eastAsia" w:ascii="宋体" w:hAnsi="宋体" w:eastAsia="宋体" w:cs="Times New Roman"/>
          <w:sz w:val="24"/>
          <w:szCs w:val="24"/>
        </w:rPr>
        <w:t>;</w:t>
      </w:r>
      <w:r>
        <w:rPr>
          <w:rFonts w:hint="eastAsia" w:ascii="宋体" w:hAnsi="宋体" w:eastAsia="宋体" w:cs="Times New Roman"/>
          <w:sz w:val="24"/>
          <w:szCs w:val="24"/>
          <w:lang w:val="en-US" w:eastAsia="zh-CN"/>
        </w:rPr>
        <w:t>总规划幼儿园学位32000座。</w:t>
      </w:r>
    </w:p>
    <w:p>
      <w:pPr>
        <w:spacing w:line="360" w:lineRule="auto"/>
        <w:ind w:firstLine="480" w:firstLineChars="200"/>
        <w:rPr>
          <w:rFonts w:hint="default" w:ascii="宋体" w:hAnsi="宋体" w:eastAsia="宋体" w:cs="Times New Roman"/>
          <w:sz w:val="24"/>
          <w:szCs w:val="24"/>
          <w:lang w:val="en-US" w:eastAsia="zh-CN"/>
        </w:rPr>
      </w:pPr>
      <w:r>
        <w:rPr>
          <w:rFonts w:hint="eastAsia" w:ascii="宋体" w:hAnsi="宋体" w:eastAsia="宋体" w:cs="Times New Roman"/>
          <w:sz w:val="24"/>
          <w:szCs w:val="24"/>
          <w:lang w:val="en-US" w:eastAsia="zh-CN"/>
        </w:rPr>
        <w:t>本次专项近期（2030年）以规划常住人口80万人为基础规划学位，需配建幼儿园学位不少于32000个。远期以110万人管理人口进行需求预测，需配建幼儿园学位不少于44000个。同时根据人口发展趋势以及最新国家、省、市规划标准，基于法定详规单元进行布局指引，动态结合单元详规进行弹性调校。</w:t>
      </w:r>
    </w:p>
    <w:p>
      <w:pPr>
        <w:spacing w:line="360" w:lineRule="auto"/>
        <w:ind w:firstLine="480" w:firstLineChars="200"/>
        <w:rPr>
          <w:rFonts w:ascii="宋体" w:hAnsi="宋体" w:eastAsia="宋体" w:cs="Times New Roman"/>
          <w:sz w:val="24"/>
          <w:szCs w:val="24"/>
        </w:rPr>
      </w:pPr>
    </w:p>
    <w:p>
      <w:pPr>
        <w:spacing w:line="360" w:lineRule="auto"/>
        <w:rPr>
          <w:rFonts w:ascii="宋体" w:hAnsi="宋体" w:eastAsia="宋体" w:cs="Times New Roman"/>
          <w:sz w:val="24"/>
          <w:szCs w:val="24"/>
        </w:rPr>
      </w:pPr>
      <w:r>
        <w:rPr>
          <w:rFonts w:hint="eastAsia" w:ascii="宋体" w:hAnsi="宋体" w:eastAsia="宋体" w:cs="Times New Roman"/>
          <w:sz w:val="24"/>
          <w:szCs w:val="24"/>
        </w:rPr>
        <w:br w:type="page"/>
      </w:r>
    </w:p>
    <w:p>
      <w:pPr>
        <w:pStyle w:val="3"/>
        <w:keepNext w:val="0"/>
        <w:keepLines w:val="0"/>
        <w:numPr>
          <w:ilvl w:val="0"/>
          <w:numId w:val="1"/>
        </w:numPr>
        <w:spacing w:before="156" w:beforeLines="50" w:after="0" w:line="360" w:lineRule="auto"/>
        <w:jc w:val="center"/>
        <w:rPr>
          <w:rFonts w:ascii="Times New Roman" w:hAnsi="Times New Roman" w:eastAsia="黑体" w:cs="Times New Roman"/>
          <w:sz w:val="36"/>
        </w:rPr>
      </w:pPr>
      <w:bookmarkStart w:id="29" w:name="_Toc185583021"/>
      <w:r>
        <w:rPr>
          <w:rFonts w:hint="eastAsia" w:ascii="Times New Roman" w:hAnsi="Times New Roman" w:eastAsia="黑体" w:cs="Times New Roman"/>
          <w:sz w:val="36"/>
        </w:rPr>
        <w:t>幼儿园设施规划</w:t>
      </w:r>
      <w:bookmarkEnd w:id="29"/>
    </w:p>
    <w:p>
      <w:pPr>
        <w:pStyle w:val="4"/>
        <w:numPr>
          <w:ilvl w:val="0"/>
          <w:numId w:val="2"/>
        </w:numPr>
        <w:spacing w:before="100" w:after="100" w:line="460" w:lineRule="exact"/>
        <w:jc w:val="left"/>
        <w:rPr>
          <w:rFonts w:ascii="Arial" w:hAnsi="Arial" w:eastAsia="宋体" w:cs="Times New Roman"/>
          <w:sz w:val="28"/>
        </w:rPr>
      </w:pPr>
      <w:r>
        <w:rPr>
          <w:rFonts w:hint="eastAsia" w:ascii="Arial" w:hAnsi="Arial" w:eastAsia="宋体" w:cs="Times New Roman"/>
          <w:sz w:val="28"/>
        </w:rPr>
        <w:t>空间布局要求</w:t>
      </w:r>
    </w:p>
    <w:p>
      <w:pPr>
        <w:tabs>
          <w:tab w:val="left" w:pos="720"/>
        </w:tabs>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（1）</w:t>
      </w:r>
      <w:r>
        <w:rPr>
          <w:rFonts w:ascii="宋体" w:hAnsi="宋体" w:eastAsia="宋体" w:cs="Times New Roman"/>
          <w:sz w:val="24"/>
          <w:szCs w:val="24"/>
        </w:rPr>
        <w:t>按照</w:t>
      </w:r>
      <w:r>
        <w:rPr>
          <w:rFonts w:hint="eastAsia" w:ascii="宋体" w:hAnsi="宋体" w:eastAsia="宋体" w:cs="Times New Roman"/>
          <w:sz w:val="24"/>
          <w:szCs w:val="24"/>
        </w:rPr>
        <w:t>国家、省、市</w:t>
      </w:r>
      <w:r>
        <w:rPr>
          <w:rFonts w:ascii="宋体" w:hAnsi="宋体" w:eastAsia="宋体" w:cs="Times New Roman"/>
          <w:sz w:val="24"/>
          <w:szCs w:val="24"/>
        </w:rPr>
        <w:t>关于</w:t>
      </w:r>
      <w:r>
        <w:rPr>
          <w:rFonts w:hint="eastAsia" w:ascii="宋体" w:hAnsi="宋体" w:eastAsia="宋体" w:cs="Times New Roman"/>
          <w:sz w:val="24"/>
          <w:szCs w:val="24"/>
        </w:rPr>
        <w:t>幼儿园</w:t>
      </w:r>
      <w:r>
        <w:rPr>
          <w:rFonts w:ascii="宋体" w:hAnsi="宋体" w:eastAsia="宋体" w:cs="Times New Roman"/>
          <w:sz w:val="24"/>
          <w:szCs w:val="24"/>
        </w:rPr>
        <w:t>设施的规范化标准进行建设。</w:t>
      </w:r>
    </w:p>
    <w:p>
      <w:pPr>
        <w:tabs>
          <w:tab w:val="left" w:pos="720"/>
        </w:tabs>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（2）</w:t>
      </w:r>
      <w:r>
        <w:rPr>
          <w:rFonts w:ascii="宋体" w:hAnsi="宋体" w:eastAsia="宋体" w:cs="Times New Roman"/>
          <w:sz w:val="24"/>
          <w:szCs w:val="24"/>
        </w:rPr>
        <w:t>优化城乡</w:t>
      </w:r>
      <w:r>
        <w:rPr>
          <w:rFonts w:hint="eastAsia" w:ascii="宋体" w:hAnsi="宋体" w:eastAsia="宋体" w:cs="Times New Roman"/>
          <w:sz w:val="24"/>
          <w:szCs w:val="24"/>
        </w:rPr>
        <w:t>幼儿园</w:t>
      </w:r>
      <w:r>
        <w:rPr>
          <w:rFonts w:ascii="宋体" w:hAnsi="宋体" w:eastAsia="宋体" w:cs="Times New Roman"/>
          <w:sz w:val="24"/>
          <w:szCs w:val="24"/>
        </w:rPr>
        <w:t>设施布局，使得</w:t>
      </w:r>
      <w:r>
        <w:rPr>
          <w:rFonts w:hint="eastAsia" w:ascii="宋体" w:hAnsi="宋体" w:eastAsia="宋体" w:cs="Times New Roman"/>
          <w:sz w:val="24"/>
          <w:szCs w:val="24"/>
        </w:rPr>
        <w:t>幼儿园</w:t>
      </w:r>
      <w:r>
        <w:rPr>
          <w:rFonts w:ascii="宋体" w:hAnsi="宋体" w:eastAsia="宋体" w:cs="Times New Roman"/>
          <w:sz w:val="24"/>
          <w:szCs w:val="24"/>
        </w:rPr>
        <w:t>设施尽量靠近需求中心。</w:t>
      </w:r>
    </w:p>
    <w:p>
      <w:pPr>
        <w:tabs>
          <w:tab w:val="left" w:pos="720"/>
        </w:tabs>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（3）</w:t>
      </w:r>
      <w:r>
        <w:rPr>
          <w:rFonts w:ascii="宋体" w:hAnsi="宋体" w:eastAsia="宋体" w:cs="Times New Roman"/>
          <w:sz w:val="24"/>
          <w:szCs w:val="24"/>
        </w:rPr>
        <w:t>根据</w:t>
      </w:r>
      <w:r>
        <w:rPr>
          <w:rFonts w:hint="eastAsia" w:ascii="宋体" w:hAnsi="宋体" w:eastAsia="宋体" w:cs="Times New Roman"/>
          <w:sz w:val="24"/>
          <w:szCs w:val="24"/>
        </w:rPr>
        <w:t>大亚湾开发区幼儿园</w:t>
      </w:r>
      <w:r>
        <w:rPr>
          <w:rFonts w:ascii="宋体" w:hAnsi="宋体" w:eastAsia="宋体" w:cs="Times New Roman"/>
          <w:sz w:val="24"/>
          <w:szCs w:val="24"/>
        </w:rPr>
        <w:t>设施学位供需情况，以</w:t>
      </w:r>
      <w:r>
        <w:rPr>
          <w:rFonts w:hint="eastAsia" w:ascii="宋体" w:hAnsi="宋体" w:eastAsia="宋体" w:cs="Times New Roman"/>
          <w:sz w:val="24"/>
          <w:szCs w:val="24"/>
        </w:rPr>
        <w:t>控规单元</w:t>
      </w:r>
      <w:r>
        <w:rPr>
          <w:rFonts w:ascii="宋体" w:hAnsi="宋体" w:eastAsia="宋体" w:cs="Times New Roman"/>
          <w:sz w:val="24"/>
          <w:szCs w:val="24"/>
        </w:rPr>
        <w:t>为单位，对现状和规划建设的</w:t>
      </w:r>
      <w:r>
        <w:rPr>
          <w:rFonts w:hint="eastAsia" w:ascii="宋体" w:hAnsi="宋体" w:eastAsia="宋体" w:cs="Times New Roman"/>
          <w:sz w:val="24"/>
          <w:szCs w:val="24"/>
        </w:rPr>
        <w:t>幼儿园</w:t>
      </w:r>
      <w:r>
        <w:rPr>
          <w:rFonts w:ascii="宋体" w:hAnsi="宋体" w:eastAsia="宋体" w:cs="Times New Roman"/>
          <w:sz w:val="24"/>
          <w:szCs w:val="24"/>
        </w:rPr>
        <w:t>设施，做出布点规划，明确其位置、规模，并确定</w:t>
      </w:r>
      <w:r>
        <w:rPr>
          <w:rFonts w:hint="eastAsia" w:ascii="宋体" w:hAnsi="宋体" w:eastAsia="宋体" w:cs="Times New Roman"/>
          <w:sz w:val="24"/>
          <w:szCs w:val="24"/>
        </w:rPr>
        <w:t>幼儿园</w:t>
      </w:r>
      <w:r>
        <w:rPr>
          <w:rFonts w:ascii="宋体" w:hAnsi="宋体" w:eastAsia="宋体" w:cs="Times New Roman"/>
          <w:sz w:val="24"/>
          <w:szCs w:val="24"/>
        </w:rPr>
        <w:t>设施的状态。</w:t>
      </w:r>
    </w:p>
    <w:p>
      <w:pPr>
        <w:tabs>
          <w:tab w:val="left" w:pos="720"/>
        </w:tabs>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w:t>
      </w:r>
      <w:r>
        <w:rPr>
          <w:rFonts w:ascii="宋体" w:hAnsi="宋体" w:eastAsia="宋体" w:cs="Times New Roman"/>
          <w:sz w:val="24"/>
          <w:szCs w:val="24"/>
        </w:rPr>
        <w:t>本规划的</w:t>
      </w:r>
      <w:r>
        <w:rPr>
          <w:rFonts w:hint="eastAsia" w:ascii="宋体" w:hAnsi="宋体" w:eastAsia="宋体" w:cs="Times New Roman"/>
          <w:sz w:val="24"/>
          <w:szCs w:val="24"/>
        </w:rPr>
        <w:t>幼儿园</w:t>
      </w:r>
      <w:r>
        <w:rPr>
          <w:rFonts w:ascii="宋体" w:hAnsi="宋体" w:eastAsia="宋体" w:cs="Times New Roman"/>
          <w:sz w:val="24"/>
          <w:szCs w:val="24"/>
        </w:rPr>
        <w:t>设施采用点位控制方式，不得随意调整其办学规模,具体的用地选址和用地边界应在</w:t>
      </w:r>
      <w:r>
        <w:rPr>
          <w:rFonts w:hint="eastAsia" w:ascii="宋体" w:hAnsi="宋体" w:eastAsia="宋体" w:cs="Times New Roman"/>
          <w:sz w:val="24"/>
          <w:szCs w:val="24"/>
        </w:rPr>
        <w:t>修建性详细规划</w:t>
      </w:r>
      <w:r>
        <w:rPr>
          <w:rFonts w:ascii="宋体" w:hAnsi="宋体" w:eastAsia="宋体" w:cs="Times New Roman"/>
          <w:sz w:val="24"/>
          <w:szCs w:val="24"/>
        </w:rPr>
        <w:t>中予以明确。</w:t>
      </w:r>
    </w:p>
    <w:p>
      <w:pPr>
        <w:pStyle w:val="4"/>
        <w:numPr>
          <w:ilvl w:val="0"/>
          <w:numId w:val="2"/>
        </w:numPr>
        <w:spacing w:before="100" w:after="100" w:line="460" w:lineRule="exact"/>
        <w:jc w:val="left"/>
        <w:rPr>
          <w:rFonts w:ascii="Arial" w:hAnsi="Arial" w:eastAsia="宋体" w:cs="Times New Roman"/>
          <w:sz w:val="28"/>
        </w:rPr>
      </w:pPr>
      <w:r>
        <w:rPr>
          <w:rFonts w:hint="eastAsia" w:ascii="Arial" w:hAnsi="Arial" w:eastAsia="宋体" w:cs="Times New Roman"/>
          <w:sz w:val="28"/>
        </w:rPr>
        <w:t>幼儿园设施规划</w:t>
      </w:r>
    </w:p>
    <w:p>
      <w:pPr>
        <w:spacing w:line="360" w:lineRule="auto"/>
        <w:ind w:firstLine="480" w:firstLineChars="200"/>
        <w:jc w:val="left"/>
        <w:rPr>
          <w:rFonts w:ascii="宋体" w:hAnsi="宋体" w:eastAsia="宋体" w:cs="Times New Roman"/>
          <w:sz w:val="24"/>
          <w:szCs w:val="24"/>
        </w:rPr>
      </w:pPr>
      <w:bookmarkStart w:id="30" w:name="OLE_LINK32"/>
      <w:bookmarkStart w:id="31" w:name="OLE_LINK27"/>
      <w:r>
        <w:rPr>
          <w:rFonts w:hint="eastAsia" w:ascii="宋体" w:hAnsi="宋体" w:eastAsia="宋体" w:cs="Times New Roman"/>
          <w:sz w:val="24"/>
          <w:szCs w:val="24"/>
        </w:rPr>
        <w:t>至</w:t>
      </w:r>
      <w:r>
        <w:rPr>
          <w:rFonts w:ascii="宋体" w:hAnsi="宋体" w:eastAsia="宋体" w:cs="Times New Roman"/>
          <w:sz w:val="24"/>
          <w:szCs w:val="24"/>
        </w:rPr>
        <w:t>2035年，</w:t>
      </w:r>
      <w:r>
        <w:rPr>
          <w:rFonts w:hint="eastAsia" w:ascii="宋体" w:hAnsi="宋体" w:eastAsia="宋体" w:cs="Times New Roman"/>
          <w:sz w:val="24"/>
          <w:szCs w:val="24"/>
        </w:rPr>
        <w:t>依据详规单元提出布局指引，大亚湾开发区</w:t>
      </w:r>
      <w:r>
        <w:rPr>
          <w:rFonts w:ascii="宋体" w:hAnsi="宋体" w:eastAsia="宋体" w:cs="Times New Roman"/>
          <w:sz w:val="24"/>
          <w:szCs w:val="24"/>
        </w:rPr>
        <w:t>幼儿园</w:t>
      </w:r>
      <w:r>
        <w:rPr>
          <w:rFonts w:hint="eastAsia" w:ascii="宋体" w:hAnsi="宋体" w:eastAsia="宋体" w:cs="Times New Roman"/>
          <w:sz w:val="24"/>
          <w:szCs w:val="24"/>
        </w:rPr>
        <w:t>共</w:t>
      </w:r>
      <w:r>
        <w:rPr>
          <w:rFonts w:ascii="宋体" w:hAnsi="宋体" w:eastAsia="宋体" w:cs="Times New Roman"/>
          <w:sz w:val="24"/>
          <w:szCs w:val="24"/>
        </w:rPr>
        <w:t>150所，</w:t>
      </w:r>
      <w:r>
        <w:rPr>
          <w:rFonts w:hint="eastAsia" w:ascii="宋体" w:hAnsi="宋体" w:eastAsia="宋体" w:cs="Times New Roman"/>
          <w:sz w:val="24"/>
          <w:szCs w:val="24"/>
        </w:rPr>
        <w:t>总计1588班，</w:t>
      </w:r>
      <w:r>
        <w:rPr>
          <w:rFonts w:ascii="宋体" w:hAnsi="宋体" w:eastAsia="宋体" w:cs="Times New Roman"/>
          <w:sz w:val="24"/>
          <w:szCs w:val="24"/>
        </w:rPr>
        <w:t>可提供学位4</w:t>
      </w:r>
      <w:r>
        <w:rPr>
          <w:rFonts w:hint="eastAsia" w:ascii="宋体" w:hAnsi="宋体" w:eastAsia="宋体" w:cs="Times New Roman"/>
          <w:sz w:val="24"/>
          <w:szCs w:val="24"/>
        </w:rPr>
        <w:t>764</w:t>
      </w:r>
      <w:r>
        <w:rPr>
          <w:rFonts w:ascii="宋体" w:hAnsi="宋体" w:eastAsia="宋体" w:cs="Times New Roman"/>
          <w:sz w:val="24"/>
          <w:szCs w:val="24"/>
        </w:rPr>
        <w:t>0</w:t>
      </w:r>
      <w:r>
        <w:rPr>
          <w:rFonts w:hint="eastAsia" w:ascii="宋体" w:hAnsi="宋体" w:eastAsia="宋体" w:cs="Times New Roman"/>
          <w:sz w:val="24"/>
          <w:szCs w:val="24"/>
        </w:rPr>
        <w:t>座</w:t>
      </w:r>
      <w:r>
        <w:rPr>
          <w:rFonts w:ascii="宋体" w:hAnsi="宋体" w:eastAsia="宋体" w:cs="Times New Roman"/>
          <w:sz w:val="24"/>
          <w:szCs w:val="24"/>
        </w:rPr>
        <w:t>。</w:t>
      </w:r>
      <w:r>
        <w:rPr>
          <w:rFonts w:hint="eastAsia" w:ascii="宋体" w:hAnsi="宋体" w:eastAsia="宋体" w:cs="Times New Roman"/>
          <w:sz w:val="24"/>
          <w:szCs w:val="24"/>
        </w:rPr>
        <w:t>其中，澳头街道</w:t>
      </w:r>
      <w:bookmarkStart w:id="32" w:name="OLE_LINK28"/>
      <w:bookmarkStart w:id="33" w:name="OLE_LINK29"/>
      <w:r>
        <w:rPr>
          <w:rFonts w:ascii="宋体" w:hAnsi="宋体" w:eastAsia="宋体" w:cs="Times New Roman"/>
          <w:sz w:val="24"/>
          <w:szCs w:val="24"/>
        </w:rPr>
        <w:t>规划</w:t>
      </w:r>
      <w:bookmarkEnd w:id="32"/>
      <w:bookmarkEnd w:id="33"/>
      <w:r>
        <w:rPr>
          <w:rFonts w:hint="eastAsia" w:ascii="宋体" w:hAnsi="宋体" w:eastAsia="宋体" w:cs="Times New Roman"/>
          <w:sz w:val="24"/>
          <w:szCs w:val="24"/>
        </w:rPr>
        <w:t>幼儿园</w:t>
      </w:r>
      <w:r>
        <w:rPr>
          <w:rFonts w:ascii="宋体" w:hAnsi="宋体" w:eastAsia="宋体" w:cs="Times New Roman"/>
          <w:sz w:val="24"/>
          <w:szCs w:val="24"/>
        </w:rPr>
        <w:t>56所，</w:t>
      </w:r>
      <w:r>
        <w:rPr>
          <w:rFonts w:hint="eastAsia" w:ascii="宋体" w:hAnsi="宋体" w:eastAsia="宋体" w:cs="Times New Roman"/>
          <w:sz w:val="24"/>
          <w:szCs w:val="24"/>
        </w:rPr>
        <w:t>规划班数</w:t>
      </w:r>
      <w:r>
        <w:rPr>
          <w:rFonts w:ascii="宋体" w:hAnsi="宋体" w:eastAsia="宋体" w:cs="Times New Roman"/>
          <w:sz w:val="24"/>
          <w:szCs w:val="24"/>
        </w:rPr>
        <w:t>5</w:t>
      </w:r>
      <w:r>
        <w:rPr>
          <w:rFonts w:hint="eastAsia" w:ascii="宋体" w:hAnsi="宋体" w:eastAsia="宋体" w:cs="Times New Roman"/>
          <w:sz w:val="24"/>
          <w:szCs w:val="24"/>
        </w:rPr>
        <w:t>80班；</w:t>
      </w:r>
      <w:r>
        <w:rPr>
          <w:rFonts w:ascii="宋体" w:hAnsi="宋体" w:eastAsia="宋体" w:cs="Times New Roman"/>
          <w:sz w:val="24"/>
          <w:szCs w:val="24"/>
        </w:rPr>
        <w:t>西区街道规划幼儿园85所，</w:t>
      </w:r>
      <w:r>
        <w:rPr>
          <w:rFonts w:hint="eastAsia" w:ascii="宋体" w:hAnsi="宋体" w:eastAsia="宋体" w:cs="Times New Roman"/>
          <w:sz w:val="24"/>
          <w:szCs w:val="24"/>
        </w:rPr>
        <w:t>规划班数</w:t>
      </w:r>
      <w:r>
        <w:rPr>
          <w:rFonts w:ascii="宋体" w:hAnsi="宋体" w:eastAsia="宋体" w:cs="Times New Roman"/>
          <w:sz w:val="24"/>
          <w:szCs w:val="24"/>
        </w:rPr>
        <w:t>8</w:t>
      </w:r>
      <w:r>
        <w:rPr>
          <w:rFonts w:hint="eastAsia" w:ascii="宋体" w:hAnsi="宋体" w:eastAsia="宋体" w:cs="Times New Roman"/>
          <w:sz w:val="24"/>
          <w:szCs w:val="24"/>
        </w:rPr>
        <w:t>88班；</w:t>
      </w:r>
      <w:r>
        <w:rPr>
          <w:rFonts w:ascii="宋体" w:hAnsi="宋体" w:eastAsia="宋体" w:cs="Times New Roman"/>
          <w:sz w:val="24"/>
          <w:szCs w:val="24"/>
        </w:rPr>
        <w:t>霞涌街道规划幼儿园9所，</w:t>
      </w:r>
      <w:r>
        <w:rPr>
          <w:rFonts w:hint="eastAsia" w:ascii="宋体" w:hAnsi="宋体" w:eastAsia="宋体" w:cs="Times New Roman"/>
          <w:sz w:val="24"/>
          <w:szCs w:val="24"/>
        </w:rPr>
        <w:t>规划班数</w:t>
      </w:r>
      <w:r>
        <w:rPr>
          <w:rFonts w:ascii="宋体" w:hAnsi="宋体" w:eastAsia="宋体" w:cs="Times New Roman"/>
          <w:sz w:val="24"/>
          <w:szCs w:val="24"/>
        </w:rPr>
        <w:t>120</w:t>
      </w:r>
      <w:r>
        <w:rPr>
          <w:rFonts w:hint="eastAsia" w:ascii="宋体" w:hAnsi="宋体" w:eastAsia="宋体" w:cs="Times New Roman"/>
          <w:sz w:val="24"/>
          <w:szCs w:val="24"/>
        </w:rPr>
        <w:t>班</w:t>
      </w:r>
      <w:r>
        <w:rPr>
          <w:rFonts w:ascii="宋体" w:hAnsi="宋体" w:eastAsia="宋体" w:cs="Times New Roman"/>
          <w:sz w:val="24"/>
          <w:szCs w:val="24"/>
        </w:rPr>
        <w:t>。</w:t>
      </w:r>
      <w:r>
        <w:rPr>
          <w:rFonts w:hint="eastAsia" w:ascii="宋体" w:hAnsi="宋体" w:eastAsia="宋体" w:cs="Times New Roman"/>
          <w:sz w:val="24"/>
          <w:szCs w:val="24"/>
        </w:rPr>
        <w:t>（详细见附表</w:t>
      </w:r>
      <w:r>
        <w:rPr>
          <w:rFonts w:ascii="宋体" w:hAnsi="宋体" w:eastAsia="宋体" w:cs="Times New Roman"/>
          <w:sz w:val="24"/>
          <w:szCs w:val="24"/>
        </w:rPr>
        <w:t>1）</w:t>
      </w:r>
    </w:p>
    <w:p>
      <w:pPr>
        <w:tabs>
          <w:tab w:val="left" w:pos="720"/>
        </w:tabs>
        <w:spacing w:line="360" w:lineRule="auto"/>
        <w:ind w:firstLine="480" w:firstLineChars="200"/>
      </w:pPr>
      <w:r>
        <w:rPr>
          <w:rFonts w:hint="eastAsia" w:ascii="宋体" w:hAnsi="宋体" w:eastAsia="宋体" w:cs="Times New Roman"/>
          <w:sz w:val="24"/>
          <w:szCs w:val="24"/>
        </w:rPr>
        <w:t>至2035年，公办园和普惠性民办园在园幼儿占比达到</w:t>
      </w:r>
      <w:r>
        <w:rPr>
          <w:rFonts w:ascii="宋体" w:hAnsi="宋体" w:eastAsia="宋体" w:cs="Times New Roman"/>
          <w:sz w:val="24"/>
          <w:szCs w:val="24"/>
        </w:rPr>
        <w:t>95</w:t>
      </w:r>
      <w:r>
        <w:rPr>
          <w:rFonts w:hint="eastAsia" w:ascii="宋体" w:hAnsi="宋体" w:eastAsia="宋体" w:cs="Times New Roman"/>
          <w:sz w:val="24"/>
          <w:szCs w:val="24"/>
        </w:rPr>
        <w:t>%，公办园在园幼儿占比达到50%。</w:t>
      </w:r>
      <w:bookmarkEnd w:id="30"/>
      <w:bookmarkEnd w:id="31"/>
      <w:r>
        <w:br w:type="page"/>
      </w:r>
    </w:p>
    <w:p>
      <w:pPr>
        <w:pStyle w:val="3"/>
        <w:keepNext w:val="0"/>
        <w:keepLines w:val="0"/>
        <w:numPr>
          <w:ilvl w:val="0"/>
          <w:numId w:val="1"/>
        </w:numPr>
        <w:spacing w:before="156" w:beforeLines="50" w:after="0" w:line="360" w:lineRule="auto"/>
        <w:jc w:val="center"/>
        <w:rPr>
          <w:rFonts w:ascii="Times New Roman" w:hAnsi="Times New Roman" w:eastAsia="黑体" w:cs="Times New Roman"/>
          <w:sz w:val="36"/>
        </w:rPr>
      </w:pPr>
      <w:bookmarkStart w:id="34" w:name="_Toc185583022"/>
      <w:r>
        <w:rPr>
          <w:rFonts w:hint="eastAsia" w:ascii="Times New Roman" w:hAnsi="Times New Roman" w:eastAsia="黑体" w:cs="Times New Roman"/>
          <w:sz w:val="36"/>
        </w:rPr>
        <w:t>近期建设规划</w:t>
      </w:r>
      <w:bookmarkEnd w:id="34"/>
    </w:p>
    <w:p>
      <w:pPr>
        <w:pStyle w:val="4"/>
        <w:numPr>
          <w:ilvl w:val="0"/>
          <w:numId w:val="2"/>
        </w:numPr>
        <w:spacing w:before="100" w:after="100" w:line="460" w:lineRule="exact"/>
        <w:jc w:val="left"/>
        <w:rPr>
          <w:rFonts w:ascii="Arial" w:hAnsi="Arial" w:eastAsia="宋体" w:cs="Times New Roman"/>
          <w:sz w:val="28"/>
        </w:rPr>
      </w:pPr>
      <w:r>
        <w:rPr>
          <w:rFonts w:hint="eastAsia" w:ascii="Arial" w:hAnsi="Arial" w:eastAsia="宋体" w:cs="Times New Roman"/>
          <w:sz w:val="28"/>
        </w:rPr>
        <w:t>近期建设目标</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至2030年，公办园和普惠性民办园在园幼儿占比达到</w:t>
      </w:r>
      <w:r>
        <w:rPr>
          <w:rFonts w:ascii="宋体" w:hAnsi="宋体" w:eastAsia="宋体" w:cs="Times New Roman"/>
          <w:sz w:val="24"/>
          <w:szCs w:val="24"/>
        </w:rPr>
        <w:t>90</w:t>
      </w:r>
      <w:r>
        <w:rPr>
          <w:rFonts w:hint="eastAsia" w:ascii="宋体" w:hAnsi="宋体" w:eastAsia="宋体" w:cs="Times New Roman"/>
          <w:sz w:val="24"/>
          <w:szCs w:val="24"/>
        </w:rPr>
        <w:t>%，公办园在园幼儿占比达到50%。</w:t>
      </w:r>
    </w:p>
    <w:p>
      <w:pPr>
        <w:pStyle w:val="4"/>
        <w:numPr>
          <w:ilvl w:val="0"/>
          <w:numId w:val="2"/>
        </w:numPr>
        <w:spacing w:before="100" w:after="100" w:line="460" w:lineRule="exact"/>
        <w:jc w:val="left"/>
        <w:rPr>
          <w:rFonts w:ascii="Arial" w:hAnsi="Arial" w:eastAsia="宋体" w:cs="Times New Roman"/>
          <w:sz w:val="28"/>
        </w:rPr>
      </w:pPr>
      <w:r>
        <w:rPr>
          <w:rFonts w:hint="eastAsia" w:ascii="Arial" w:hAnsi="Arial" w:eastAsia="宋体" w:cs="Times New Roman"/>
          <w:sz w:val="28"/>
        </w:rPr>
        <w:t>近期总体规模</w:t>
      </w:r>
    </w:p>
    <w:p>
      <w:pPr>
        <w:spacing w:line="360" w:lineRule="auto"/>
        <w:ind w:firstLine="480" w:firstLineChars="200"/>
        <w:rPr>
          <w:rFonts w:hint="eastAsia" w:ascii="宋体" w:hAnsi="宋体" w:eastAsia="宋体" w:cs="Times New Roman"/>
          <w:sz w:val="24"/>
          <w:szCs w:val="24"/>
          <w:lang w:val="en-US" w:eastAsia="zh-CN"/>
        </w:rPr>
      </w:pPr>
      <w:r>
        <w:rPr>
          <w:rFonts w:hint="eastAsia" w:ascii="宋体" w:hAnsi="宋体" w:eastAsia="宋体" w:cs="Times New Roman"/>
          <w:sz w:val="24"/>
          <w:szCs w:val="24"/>
        </w:rPr>
        <w:t>至2030年，</w:t>
      </w:r>
      <w:r>
        <w:rPr>
          <w:rFonts w:hint="eastAsia" w:ascii="宋体" w:hAnsi="宋体" w:eastAsia="宋体" w:cs="Times New Roman"/>
          <w:sz w:val="24"/>
          <w:szCs w:val="24"/>
          <w:lang w:val="en-US" w:eastAsia="zh-CN"/>
        </w:rPr>
        <w:t>规划到2030年，幼儿园共计117所、1186班、35580座学位,可满足常住人口80万人的幼儿园配套。澳头街道幼儿园42所、430班、12900个学位,西区街道幼儿园7</w:t>
      </w:r>
      <w:bookmarkStart w:id="36" w:name="_GoBack"/>
      <w:bookmarkEnd w:id="36"/>
      <w:r>
        <w:rPr>
          <w:rFonts w:hint="eastAsia" w:ascii="宋体" w:hAnsi="宋体" w:eastAsia="宋体" w:cs="Times New Roman"/>
          <w:sz w:val="24"/>
          <w:szCs w:val="24"/>
          <w:lang w:val="en-US" w:eastAsia="zh-CN"/>
        </w:rPr>
        <w:t>0所、369班、11397个学位,霞涌街道幼儿园5所、60班、1800座学位。</w:t>
      </w:r>
    </w:p>
    <w:p>
      <w:pPr>
        <w:pStyle w:val="4"/>
        <w:numPr>
          <w:ilvl w:val="0"/>
          <w:numId w:val="2"/>
        </w:numPr>
        <w:spacing w:before="100" w:after="100" w:line="460" w:lineRule="exact"/>
        <w:jc w:val="left"/>
        <w:rPr>
          <w:rFonts w:ascii="Arial" w:hAnsi="Arial" w:eastAsia="宋体" w:cs="Times New Roman"/>
          <w:sz w:val="28"/>
        </w:rPr>
      </w:pPr>
      <w:r>
        <w:rPr>
          <w:rFonts w:hint="eastAsia" w:ascii="Arial" w:hAnsi="Arial" w:eastAsia="宋体" w:cs="Times New Roman"/>
          <w:sz w:val="28"/>
        </w:rPr>
        <w:t>近期计划</w:t>
      </w:r>
    </w:p>
    <w:p>
      <w:pPr>
        <w:spacing w:line="360" w:lineRule="auto"/>
        <w:ind w:firstLine="480" w:firstLineChars="200"/>
        <w:rPr>
          <w:rFonts w:ascii="宋体" w:hAnsi="宋体" w:eastAsia="宋体" w:cs="Times New Roman"/>
          <w:sz w:val="24"/>
          <w:szCs w:val="24"/>
        </w:rPr>
      </w:pPr>
      <w:r>
        <w:rPr>
          <w:rFonts w:ascii="宋体" w:hAnsi="宋体" w:eastAsia="宋体" w:cs="Times New Roman"/>
          <w:sz w:val="24"/>
          <w:szCs w:val="24"/>
        </w:rPr>
        <w:t>大亚湾开发区</w:t>
      </w:r>
      <w:r>
        <w:rPr>
          <w:rFonts w:ascii="宋体" w:hAnsi="宋体" w:eastAsia="宋体" w:cs="Times New Roman"/>
          <w:sz w:val="24"/>
          <w:szCs w:val="24"/>
        </w:rPr>
        <w:t>规划</w:t>
      </w:r>
      <w:r>
        <w:rPr>
          <w:rFonts w:hint="eastAsia" w:ascii="宋体" w:hAnsi="宋体" w:eastAsia="宋体" w:cs="Times New Roman"/>
          <w:sz w:val="24"/>
          <w:szCs w:val="24"/>
        </w:rPr>
        <w:t>新增学位</w:t>
      </w:r>
      <w:r>
        <w:rPr>
          <w:rFonts w:ascii="宋体" w:hAnsi="宋体" w:eastAsia="宋体" w:cs="Times New Roman"/>
          <w:sz w:val="24"/>
          <w:szCs w:val="24"/>
        </w:rPr>
        <w:t>1.8</w:t>
      </w:r>
      <w:r>
        <w:rPr>
          <w:rFonts w:hint="eastAsia" w:ascii="宋体" w:hAnsi="宋体" w:eastAsia="宋体" w:cs="Times New Roman"/>
          <w:sz w:val="24"/>
          <w:szCs w:val="24"/>
        </w:rPr>
        <w:t>万个、规划班数</w:t>
      </w:r>
      <w:r>
        <w:rPr>
          <w:rFonts w:ascii="宋体" w:hAnsi="宋体" w:eastAsia="宋体" w:cs="Times New Roman"/>
          <w:sz w:val="24"/>
          <w:szCs w:val="24"/>
        </w:rPr>
        <w:t>600</w:t>
      </w:r>
      <w:r>
        <w:rPr>
          <w:rFonts w:hint="eastAsia" w:ascii="宋体" w:hAnsi="宋体" w:eastAsia="宋体" w:cs="Times New Roman"/>
          <w:sz w:val="24"/>
          <w:szCs w:val="24"/>
        </w:rPr>
        <w:t>班，新增幼儿园</w:t>
      </w:r>
      <w:r>
        <w:rPr>
          <w:rFonts w:ascii="宋体" w:hAnsi="宋体" w:eastAsia="宋体" w:cs="Times New Roman"/>
          <w:sz w:val="24"/>
          <w:szCs w:val="24"/>
        </w:rPr>
        <w:t>54所</w:t>
      </w:r>
      <w:r>
        <w:rPr>
          <w:rFonts w:hint="eastAsia" w:ascii="宋体" w:hAnsi="宋体" w:eastAsia="宋体" w:cs="Times New Roman"/>
          <w:sz w:val="24"/>
          <w:szCs w:val="24"/>
          <w:lang w:eastAsia="zh-CN"/>
        </w:rPr>
        <w:t>；</w:t>
      </w:r>
      <w:r>
        <w:rPr>
          <w:rFonts w:ascii="宋体" w:hAnsi="宋体" w:eastAsia="宋体" w:cs="Times New Roman"/>
          <w:sz w:val="24"/>
          <w:szCs w:val="24"/>
        </w:rPr>
        <w:t>重点</w:t>
      </w:r>
      <w:r>
        <w:rPr>
          <w:rFonts w:hint="eastAsia" w:ascii="宋体" w:hAnsi="宋体" w:eastAsia="宋体" w:cs="Times New Roman"/>
          <w:sz w:val="24"/>
          <w:szCs w:val="24"/>
        </w:rPr>
        <w:t>推进已竣工正在筹办及在建的</w:t>
      </w:r>
      <w:r>
        <w:rPr>
          <w:rFonts w:ascii="宋体" w:hAnsi="宋体" w:eastAsia="宋体" w:cs="Times New Roman"/>
          <w:sz w:val="24"/>
          <w:szCs w:val="24"/>
        </w:rPr>
        <w:t>51</w:t>
      </w:r>
      <w:r>
        <w:rPr>
          <w:rFonts w:hint="eastAsia" w:ascii="宋体" w:hAnsi="宋体" w:eastAsia="宋体" w:cs="Times New Roman"/>
          <w:sz w:val="24"/>
          <w:szCs w:val="24"/>
        </w:rPr>
        <w:t>所小区配套幼儿园开园运营</w:t>
      </w:r>
      <w:r>
        <w:rPr>
          <w:rFonts w:ascii="宋体" w:hAnsi="宋体" w:eastAsia="宋体" w:cs="Times New Roman"/>
          <w:sz w:val="24"/>
          <w:szCs w:val="24"/>
        </w:rPr>
        <w:t>，同时拟新建幼儿园3所</w:t>
      </w:r>
      <w:r>
        <w:rPr>
          <w:rFonts w:hint="eastAsia" w:ascii="宋体" w:hAnsi="宋体" w:eastAsia="宋体" w:cs="Times New Roman"/>
          <w:sz w:val="24"/>
          <w:szCs w:val="24"/>
        </w:rPr>
        <w:t>。其中：</w:t>
      </w:r>
      <w:r>
        <w:rPr>
          <w:rFonts w:ascii="宋体" w:hAnsi="宋体" w:eastAsia="宋体" w:cs="Times New Roman"/>
          <w:sz w:val="24"/>
          <w:szCs w:val="24"/>
        </w:rPr>
        <w:t>澳头街道新</w:t>
      </w:r>
      <w:r>
        <w:rPr>
          <w:rFonts w:hint="eastAsia" w:ascii="宋体" w:hAnsi="宋体" w:eastAsia="宋体" w:cs="Times New Roman"/>
          <w:sz w:val="24"/>
          <w:szCs w:val="24"/>
        </w:rPr>
        <w:t>增</w:t>
      </w:r>
      <w:r>
        <w:rPr>
          <w:rFonts w:ascii="宋体" w:hAnsi="宋体" w:eastAsia="宋体" w:cs="Times New Roman"/>
          <w:sz w:val="24"/>
          <w:szCs w:val="24"/>
        </w:rPr>
        <w:t>幼儿园18所，西区街道新</w:t>
      </w:r>
      <w:r>
        <w:rPr>
          <w:rFonts w:hint="eastAsia" w:ascii="宋体" w:hAnsi="宋体" w:eastAsia="宋体" w:cs="Times New Roman"/>
          <w:sz w:val="24"/>
          <w:szCs w:val="24"/>
        </w:rPr>
        <w:t>增</w:t>
      </w:r>
      <w:r>
        <w:rPr>
          <w:rFonts w:ascii="宋体" w:hAnsi="宋体" w:eastAsia="宋体" w:cs="Times New Roman"/>
          <w:sz w:val="24"/>
          <w:szCs w:val="24"/>
        </w:rPr>
        <w:t>幼儿园34所，霞涌街道新</w:t>
      </w:r>
      <w:r>
        <w:rPr>
          <w:rFonts w:hint="eastAsia" w:ascii="宋体" w:hAnsi="宋体" w:eastAsia="宋体" w:cs="Times New Roman"/>
          <w:sz w:val="24"/>
          <w:szCs w:val="24"/>
        </w:rPr>
        <w:t>增</w:t>
      </w:r>
      <w:r>
        <w:rPr>
          <w:rFonts w:ascii="宋体" w:hAnsi="宋体" w:eastAsia="宋体" w:cs="Times New Roman"/>
          <w:sz w:val="24"/>
          <w:szCs w:val="24"/>
        </w:rPr>
        <w:t>幼儿园2所。新增幼儿园</w:t>
      </w:r>
      <w:r>
        <w:rPr>
          <w:rFonts w:hint="eastAsia" w:ascii="宋体" w:hAnsi="宋体" w:eastAsia="宋体" w:cs="Times New Roman"/>
          <w:sz w:val="24"/>
          <w:szCs w:val="24"/>
        </w:rPr>
        <w:t>共计</w:t>
      </w:r>
      <w:r>
        <w:rPr>
          <w:rFonts w:ascii="宋体" w:hAnsi="宋体" w:eastAsia="宋体" w:cs="Times New Roman"/>
          <w:sz w:val="24"/>
          <w:szCs w:val="24"/>
        </w:rPr>
        <w:t>600班</w:t>
      </w:r>
      <w:r>
        <w:rPr>
          <w:rFonts w:hint="eastAsia" w:ascii="宋体" w:hAnsi="宋体" w:eastAsia="宋体" w:cs="Times New Roman"/>
          <w:sz w:val="24"/>
          <w:szCs w:val="24"/>
        </w:rPr>
        <w:t>，</w:t>
      </w:r>
      <w:r>
        <w:rPr>
          <w:rFonts w:ascii="宋体" w:hAnsi="宋体" w:eastAsia="宋体" w:cs="Times New Roman"/>
          <w:sz w:val="24"/>
          <w:szCs w:val="24"/>
        </w:rPr>
        <w:t>18000个学位</w:t>
      </w:r>
      <w:r>
        <w:rPr>
          <w:rFonts w:hint="eastAsia" w:ascii="宋体" w:hAnsi="宋体" w:eastAsia="宋体" w:cs="Times New Roman"/>
          <w:sz w:val="24"/>
          <w:szCs w:val="24"/>
        </w:rPr>
        <w:t>。</w:t>
      </w:r>
      <w:r>
        <w:rPr>
          <w:rFonts w:ascii="宋体" w:hAnsi="宋体" w:eastAsia="宋体" w:cs="Times New Roman"/>
          <w:sz w:val="24"/>
          <w:szCs w:val="24"/>
        </w:rPr>
        <w:t>其中，澳头街道新增幼儿园201班</w:t>
      </w:r>
      <w:r>
        <w:rPr>
          <w:rFonts w:hint="eastAsia" w:ascii="宋体" w:hAnsi="宋体" w:eastAsia="宋体" w:cs="Times New Roman"/>
          <w:sz w:val="24"/>
          <w:szCs w:val="24"/>
        </w:rPr>
        <w:t>，</w:t>
      </w:r>
      <w:r>
        <w:rPr>
          <w:rFonts w:ascii="宋体" w:hAnsi="宋体" w:eastAsia="宋体" w:cs="Times New Roman"/>
          <w:sz w:val="24"/>
          <w:szCs w:val="24"/>
        </w:rPr>
        <w:t>6030个学位</w:t>
      </w:r>
      <w:r>
        <w:rPr>
          <w:rFonts w:hint="eastAsia" w:ascii="宋体" w:hAnsi="宋体" w:eastAsia="宋体" w:cs="Times New Roman"/>
          <w:sz w:val="24"/>
          <w:szCs w:val="24"/>
        </w:rPr>
        <w:t>；</w:t>
      </w:r>
      <w:r>
        <w:rPr>
          <w:rFonts w:ascii="宋体" w:hAnsi="宋体" w:eastAsia="宋体" w:cs="Times New Roman"/>
          <w:sz w:val="24"/>
          <w:szCs w:val="24"/>
        </w:rPr>
        <w:t>西区街道新增幼儿园369班，11070个学位</w:t>
      </w:r>
      <w:r>
        <w:rPr>
          <w:rFonts w:hint="eastAsia" w:ascii="宋体" w:hAnsi="宋体" w:eastAsia="宋体" w:cs="Times New Roman"/>
          <w:sz w:val="24"/>
          <w:szCs w:val="24"/>
        </w:rPr>
        <w:t>；</w:t>
      </w:r>
      <w:r>
        <w:rPr>
          <w:rFonts w:ascii="宋体" w:hAnsi="宋体" w:eastAsia="宋体" w:cs="Times New Roman"/>
          <w:sz w:val="24"/>
          <w:szCs w:val="24"/>
        </w:rPr>
        <w:t>霞涌街道新增幼儿园30班</w:t>
      </w:r>
      <w:r>
        <w:rPr>
          <w:rFonts w:hint="eastAsia" w:ascii="宋体" w:hAnsi="宋体" w:eastAsia="宋体" w:cs="Times New Roman"/>
          <w:sz w:val="24"/>
          <w:szCs w:val="24"/>
        </w:rPr>
        <w:t>，</w:t>
      </w:r>
      <w:r>
        <w:rPr>
          <w:rFonts w:ascii="宋体" w:hAnsi="宋体" w:eastAsia="宋体" w:cs="Times New Roman"/>
          <w:sz w:val="24"/>
          <w:szCs w:val="24"/>
        </w:rPr>
        <w:t>900个学位。</w:t>
      </w:r>
    </w:p>
    <w:p>
      <w:pPr>
        <w:widowControl/>
        <w:jc w:val="left"/>
        <w:rPr>
          <w:rFonts w:ascii="Arial" w:hAnsi="Arial" w:eastAsia="宋体" w:cs="Times New Roman"/>
          <w:b/>
          <w:bCs/>
          <w:sz w:val="28"/>
          <w:szCs w:val="32"/>
        </w:rPr>
      </w:pPr>
      <w:r>
        <w:rPr>
          <w:rFonts w:ascii="Arial" w:hAnsi="Arial" w:eastAsia="宋体" w:cs="Times New Roman"/>
          <w:sz w:val="28"/>
        </w:rPr>
        <w:br w:type="page"/>
      </w:r>
    </w:p>
    <w:p>
      <w:pPr>
        <w:pStyle w:val="3"/>
        <w:keepNext w:val="0"/>
        <w:keepLines w:val="0"/>
        <w:numPr>
          <w:ilvl w:val="0"/>
          <w:numId w:val="1"/>
        </w:numPr>
        <w:spacing w:before="156" w:beforeLines="50" w:after="0" w:line="360" w:lineRule="auto"/>
        <w:jc w:val="center"/>
        <w:rPr>
          <w:rFonts w:ascii="Times New Roman" w:hAnsi="Times New Roman" w:eastAsia="黑体" w:cs="Times New Roman"/>
          <w:sz w:val="36"/>
        </w:rPr>
      </w:pPr>
      <w:bookmarkStart w:id="35" w:name="_Toc185583023"/>
      <w:r>
        <w:rPr>
          <w:rFonts w:hint="eastAsia" w:ascii="Times New Roman" w:hAnsi="Times New Roman" w:eastAsia="黑体" w:cs="Times New Roman"/>
          <w:sz w:val="36"/>
        </w:rPr>
        <w:t>规划实施保障</w:t>
      </w:r>
      <w:bookmarkEnd w:id="35"/>
    </w:p>
    <w:p>
      <w:pPr>
        <w:pStyle w:val="4"/>
        <w:numPr>
          <w:ilvl w:val="0"/>
          <w:numId w:val="2"/>
        </w:numPr>
        <w:spacing w:before="100" w:after="100" w:line="460" w:lineRule="exact"/>
        <w:jc w:val="left"/>
        <w:rPr>
          <w:rFonts w:ascii="Arial" w:hAnsi="Arial" w:eastAsia="宋体" w:cs="Times New Roman"/>
          <w:sz w:val="28"/>
        </w:rPr>
      </w:pPr>
      <w:r>
        <w:rPr>
          <w:rFonts w:hint="eastAsia" w:ascii="Arial" w:hAnsi="Arial" w:eastAsia="宋体" w:cs="Times New Roman"/>
          <w:sz w:val="28"/>
        </w:rPr>
        <w:t>规划实施保障</w:t>
      </w:r>
    </w:p>
    <w:p>
      <w:pPr>
        <w:numPr>
          <w:ilvl w:val="0"/>
          <w:numId w:val="4"/>
        </w:num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加强城乡融合</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促进城乡幼儿园教育一体化，补齐乡村幼儿园短板，促进城乡均衡发展，推动城乡整体发展、加快园际均衡发展，保障城乡幼儿公平接受学前教育的权益。</w:t>
      </w:r>
    </w:p>
    <w:p>
      <w:pPr>
        <w:numPr>
          <w:ilvl w:val="0"/>
          <w:numId w:val="4"/>
        </w:num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提升办园水平</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遵循幼儿发展规律和教育规律，推动树立科学保育教育理念，全面提高幼儿园保育教育水平，坚持以促进幼儿身心健康发展为导向，聚焦幼儿园保育教育过程质量，加强经费保障。</w:t>
      </w:r>
    </w:p>
    <w:p>
      <w:pPr>
        <w:numPr>
          <w:ilvl w:val="0"/>
          <w:numId w:val="4"/>
        </w:num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健全保障机制</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贯彻落实学前教育法。完善学前教育管理工作机制，区机构编制、发展改革、教育、民政、财政、人力资源保障、规划和自然资源、住房建设、卫生健康、市场监管、城管和综合执法等各部门要强化统筹、协同配合、形成合力，着力破解制约学前教育发展的重点难点问题。</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（4）强化督导考核</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加强对幼儿园布局专项规划的实施督导，严格落实规划的实施落地，及时跟进幼儿园建设的进展。将推进学前教育普及普惠、扩充优质资源供给、深化体制机制改革、提升保教质量、完善投入政策等情况纳入对部门绩效考评范畴，落实问责整改机制。</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（5）营造良好发展氛围</w:t>
      </w:r>
    </w:p>
    <w:p>
      <w:pPr>
        <w:spacing w:line="360" w:lineRule="auto"/>
        <w:ind w:firstLine="480" w:firstLineChars="200"/>
        <w:rPr>
          <w:rFonts w:ascii="宋体" w:hAnsi="宋体" w:eastAsia="宋体" w:cs="Times New Roman"/>
          <w:sz w:val="24"/>
          <w:szCs w:val="24"/>
        </w:rPr>
      </w:pPr>
      <w:r>
        <w:rPr>
          <w:rFonts w:hint="eastAsia" w:ascii="宋体" w:hAnsi="宋体" w:eastAsia="宋体" w:cs="Times New Roman"/>
          <w:sz w:val="24"/>
          <w:szCs w:val="24"/>
        </w:rPr>
        <w:t>明确学前教育对幼儿发展的启蒙作用和奠基作用，广泛宣传和传播科学的育儿观、教育观，引导大众树立正确的教育理念，掌握科学的教育方式方法，树立幼儿教师的积极形象，指导家庭教育，在全社会营造关心支持大亚湾学前教育高质量发展的良好氛围。</w:t>
      </w:r>
    </w:p>
    <w:p>
      <w:pPr>
        <w:widowControl/>
        <w:jc w:val="left"/>
        <w:rPr>
          <w:rFonts w:ascii="宋体" w:hAnsi="宋体" w:eastAsia="宋体" w:cs="Times New Roman"/>
          <w:sz w:val="24"/>
          <w:szCs w:val="24"/>
        </w:rPr>
      </w:pPr>
      <w:r>
        <w:rPr>
          <w:rFonts w:ascii="宋体" w:hAnsi="宋体" w:eastAsia="宋体" w:cs="Times New Roman"/>
          <w:sz w:val="24"/>
          <w:szCs w:val="24"/>
        </w:rPr>
        <w:br w:type="page"/>
      </w:r>
    </w:p>
    <w:p>
      <w:pPr>
        <w:spacing w:line="360" w:lineRule="auto"/>
        <w:ind w:firstLine="480" w:firstLineChars="200"/>
        <w:jc w:val="left"/>
        <w:rPr>
          <w:rFonts w:ascii="宋体" w:hAnsi="宋体" w:eastAsia="宋体" w:cs="Times New Roman"/>
          <w:sz w:val="24"/>
          <w:szCs w:val="24"/>
        </w:rPr>
      </w:pPr>
      <w:r>
        <w:rPr>
          <w:rFonts w:hint="eastAsia" w:ascii="宋体" w:hAnsi="宋体" w:eastAsia="宋体" w:cs="Times New Roman"/>
          <w:sz w:val="24"/>
          <w:szCs w:val="24"/>
        </w:rPr>
        <w:t>附表1：大亚湾开发区规划幼儿园一览表</w:t>
      </w:r>
    </w:p>
    <w:tbl>
      <w:tblPr>
        <w:tblStyle w:val="13"/>
        <w:tblW w:w="8514"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15"/>
        <w:gridCol w:w="615"/>
        <w:gridCol w:w="1004"/>
        <w:gridCol w:w="1656"/>
        <w:gridCol w:w="1018"/>
        <w:gridCol w:w="2458"/>
        <w:gridCol w:w="114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tblHeader/>
          <w:jc w:val="center"/>
        </w:trPr>
        <w:tc>
          <w:tcPr>
            <w:tcW w:w="615"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街道</w:t>
            </w:r>
          </w:p>
        </w:tc>
        <w:tc>
          <w:tcPr>
            <w:tcW w:w="615"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分期</w:t>
            </w:r>
          </w:p>
        </w:tc>
        <w:tc>
          <w:tcPr>
            <w:tcW w:w="1004"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单元</w:t>
            </w:r>
          </w:p>
        </w:tc>
        <w:tc>
          <w:tcPr>
            <w:tcW w:w="1656"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控规编制单元</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序号</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幼儿园名称</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规模（班）</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澳头街道</w:t>
            </w:r>
          </w:p>
        </w:tc>
        <w:tc>
          <w:tcPr>
            <w:tcW w:w="615"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现状</w:t>
            </w:r>
          </w:p>
        </w:tc>
        <w:tc>
          <w:tcPr>
            <w:tcW w:w="1004"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居住生活单元</w:t>
            </w: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HZ-DYW-02-01</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海德公馆幼儿园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海德花园幼儿园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玖御府幼儿园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HZ-DYW-02-05</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卓美幼儿园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HZ-DYW-02-07</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澳头实验幼儿园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澳头心心幼儿园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7</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澳头中心幼儿园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8</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博澳幼儿园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汇英幼儿园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10</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香奈花园幼儿园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11</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小博士幼儿园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小太阳幼儿园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13</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亚迪二村幼儿园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14</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艺雅幼儿园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HZ-DYW-02-09</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15</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合生滨海城幼儿园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综合服务单元</w:t>
            </w: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HZ-DYW-02-04</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16</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成长树幼儿园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17</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德洲中心城花园幼儿园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国力凯旋城幼儿园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19</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海贝贝幼儿园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20</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华晖幼儿园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21</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金沙世纪花园幼儿园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22</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书香里园幼儿园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23</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天麓花园幼儿园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24</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中萃香堤澜湾幼儿园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6136" w:type="dxa"/>
            <w:gridSpan w:val="4"/>
            <w:shd w:val="clear" w:color="auto" w:fill="auto"/>
            <w:vAlign w:val="center"/>
          </w:tcPr>
          <w:p>
            <w:pPr>
              <w:widowControl/>
              <w:jc w:val="center"/>
              <w:textAlignment w:val="center"/>
              <w:rPr>
                <w:rFonts w:ascii="宋体" w:hAnsi="宋体" w:eastAsia="宋体" w:cs="宋体"/>
                <w:bCs/>
                <w:color w:val="000000"/>
                <w:sz w:val="24"/>
                <w:szCs w:val="24"/>
              </w:rPr>
            </w:pPr>
            <w:r>
              <w:rPr>
                <w:rFonts w:hint="eastAsia" w:ascii="宋体" w:hAnsi="宋体" w:eastAsia="宋体" w:cs="宋体"/>
                <w:bCs/>
                <w:color w:val="000000"/>
                <w:kern w:val="0"/>
                <w:sz w:val="24"/>
                <w:szCs w:val="24"/>
                <w:lang w:bidi="ar"/>
              </w:rPr>
              <w:t>小计</w:t>
            </w:r>
          </w:p>
        </w:tc>
        <w:tc>
          <w:tcPr>
            <w:tcW w:w="1148" w:type="dxa"/>
            <w:shd w:val="clear" w:color="auto" w:fill="auto"/>
            <w:vAlign w:val="center"/>
          </w:tcPr>
          <w:p>
            <w:pPr>
              <w:widowControl/>
              <w:jc w:val="center"/>
              <w:textAlignment w:val="center"/>
              <w:rPr>
                <w:rFonts w:ascii="宋体" w:hAnsi="宋体" w:eastAsia="宋体" w:cs="宋体"/>
                <w:bCs/>
                <w:color w:val="000000"/>
                <w:sz w:val="24"/>
                <w:szCs w:val="24"/>
              </w:rPr>
            </w:pPr>
            <w:r>
              <w:rPr>
                <w:rFonts w:hint="eastAsia" w:ascii="宋体" w:hAnsi="宋体" w:eastAsia="宋体" w:cs="宋体"/>
                <w:bCs/>
                <w:color w:val="000000"/>
                <w:kern w:val="0"/>
                <w:sz w:val="24"/>
                <w:szCs w:val="24"/>
                <w:lang w:bidi="ar"/>
              </w:rPr>
              <w:t>229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近期</w:t>
            </w:r>
          </w:p>
        </w:tc>
        <w:tc>
          <w:tcPr>
            <w:tcW w:w="1004"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产城融合单元</w:t>
            </w:r>
          </w:p>
        </w:tc>
        <w:tc>
          <w:tcPr>
            <w:tcW w:w="1656"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HZ-DYW-01-05</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25</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御湖观邸幼儿园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交通枢纽单元</w:t>
            </w:r>
          </w:p>
        </w:tc>
        <w:tc>
          <w:tcPr>
            <w:tcW w:w="1656"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HZ-DYW-02-03</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26</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光耀海豚湾幼儿园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居住生活单元</w:t>
            </w: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HZ-DYW-02-01</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27</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海德尚园幼儿园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28</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仁和美地幼儿园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29</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泰丰枫林岸花园幼儿园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HZ-DYW-02-05</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30</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弘坤九溪红树花园幼儿园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31</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皇庭湾天下花园幼儿园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HZ-DYW-02-07</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32</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澳头第五幼儿园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33</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当代上品湾幼儿园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34</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泷珀花园一期幼儿园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35</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美都依山海幼儿园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HZ-DYW-02-09</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36</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金门塘安置区幼儿园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HZ-DYW-02-10</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37</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澳头规划幼儿园7</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综合服务单元</w:t>
            </w: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HZ-DYW-02-04</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38</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金沙灿邦花园幼儿园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39</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龙光玖龙府幼儿园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40</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太东财富港幼儿园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41</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新华联广场幼儿园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42</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新力东园幼儿园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6136" w:type="dxa"/>
            <w:gridSpan w:val="4"/>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小计</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201</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远期</w:t>
            </w:r>
          </w:p>
        </w:tc>
        <w:tc>
          <w:tcPr>
            <w:tcW w:w="1004"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产城融合单元</w:t>
            </w:r>
          </w:p>
        </w:tc>
        <w:tc>
          <w:tcPr>
            <w:tcW w:w="1656"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HZ-DYW-01-05</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43</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合生时代城幼儿园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产业发展单元</w:t>
            </w:r>
          </w:p>
        </w:tc>
        <w:tc>
          <w:tcPr>
            <w:tcW w:w="1656"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HZ-DYW-02-08</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44</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澳头规划幼儿园3</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居住生活单元</w:t>
            </w:r>
          </w:p>
        </w:tc>
        <w:tc>
          <w:tcPr>
            <w:tcW w:w="1656"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HZ-DYW-02-01</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45</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豪利花园幼儿园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HZ-DYW-02-07</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46</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澳头第三幼儿园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47</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澳头第四幼儿园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48</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澳头规划幼儿园1</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HZ-DYW-02-09</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49</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澳头规划幼儿园2</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HZ-DYW-02-10</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50</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澳头规划幼儿园4</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综合服务单元</w:t>
            </w: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HZ-DYW-02-04</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51</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澳头第二幼儿园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52</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澳头规划幼儿园5</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53</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澳头规划幼儿园6</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54</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红树湾悦府幼儿园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55</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华冠花园幼儿园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56</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君临雅苑幼儿园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6136" w:type="dxa"/>
            <w:gridSpan w:val="4"/>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小计</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150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751" w:type="dxa"/>
            <w:gridSpan w:val="5"/>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580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西区街道</w:t>
            </w:r>
          </w:p>
        </w:tc>
        <w:tc>
          <w:tcPr>
            <w:tcW w:w="615"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现状</w:t>
            </w:r>
          </w:p>
        </w:tc>
        <w:tc>
          <w:tcPr>
            <w:tcW w:w="1004"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产城融合单元</w:t>
            </w: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HZ-DYW-01-01</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57</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德洲城幼儿园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58</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金童宝贝幼儿园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59</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锦地繁花幼儿园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60</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锦河湾幼儿园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61</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凯南广场幼儿园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62</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南边灶安置区幼儿园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63</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世亮花园幼儿园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64</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西区贝贝堡幼儿园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HZ-DYW-01-02</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65</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欢乐岛幼儿园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66</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晶地里程花园幼儿园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67</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蓝天幼儿园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68</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龙光玖龙湾幼儿园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69</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龙乐华府幼儿园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70</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西区玖龙伟才幼儿园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71</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西区中心幼儿园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72</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熊猫幼儿园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73</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阳光圣菲苑幼儿园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74</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阳光幼儿园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75</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悦园幼儿园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76</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卓越晶晶幼儿园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HZ-DYW-01-04</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77</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博林腾瑞花园幼儿园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78</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秋谷康城幼儿园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HZ-DYW-01-05</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79</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金龟山鑫鼎园幼儿园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80</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明智时尚岛幼儿园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居住生活单元</w:t>
            </w: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HZ-DYW-01-03</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81</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西区龙光城安瑞琪幼儿园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82</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龙光城北区第一幼儿园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83</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龙光城晶晶幼儿园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84</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西区吉的堡幼儿园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HZ-DYW-02-01</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85</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翡翠山18班幼儿园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86</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翡翠山9班幼儿园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87</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丰园幼儿园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88</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海惠幼儿园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89</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惠恩幼儿园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90</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三远怡和园幼儿园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91</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星河丹堤天睿花园南区幼儿园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92</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育新幼儿园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6136" w:type="dxa"/>
            <w:gridSpan w:val="4"/>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小计</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327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近期</w:t>
            </w:r>
          </w:p>
        </w:tc>
        <w:tc>
          <w:tcPr>
            <w:tcW w:w="1004"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产城融合单元</w:t>
            </w: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HZ-DYW-01-01</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93</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丰谷天玺花园幼儿园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94</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富康名城花园幼儿园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95</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桂香园幼儿园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96</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国韵雍庭幼儿园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97</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慧湾--新一代信息技术产业港幼儿园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98</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美茵河畔幼儿园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99</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曦悦湾畔花园幼儿园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HZ-DYW-01-02</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100</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恒大龙郡花园幼儿园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101</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泓泰花园幼儿园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102</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鸿禧府幼儿园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103</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家悦龙庭幼儿园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104</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聚兴苑幼儿园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105</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珑廷观邸幼儿园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106</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珑廷广场幼儿园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107</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美泰星苑幼儿园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108</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瑞禧园幼儿园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109</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泰丰花园幼儿园1</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110</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泰丰花园幼儿园2</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111</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天润自在城教育配套幼儿园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112</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御蓝湾花园幼儿园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113</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东岸</w:t>
            </w:r>
            <w:r>
              <w:rPr>
                <w:rStyle w:val="64"/>
                <w:rFonts w:hint="default"/>
                <w:lang w:bidi="ar"/>
              </w:rPr>
              <w:t>花园幼儿园1</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114</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东岸花园幼儿园2</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115</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卓越八期幼儿园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116</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卓越六期幼儿园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HZ-DYW-01-04</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117</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合生紫悦府幼儿园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118</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七里香堤花园幼儿园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119</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荣禧园幼儿园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120</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星钻花园幼儿园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121</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盈禧府幼儿园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产业发展单元</w:t>
            </w:r>
          </w:p>
        </w:tc>
        <w:tc>
          <w:tcPr>
            <w:tcW w:w="1656"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HZ-DYW-01-06</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122</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西区规划幼儿园1</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居住生活单元</w:t>
            </w: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HZ-DYW-01-03</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123</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龙光城北区第三幼儿园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124</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龙光城北区第四幼儿园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125</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龙光城南区第一幼儿园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HZ-DYW-02-01</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126</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华城鹭鸣堤岸幼儿园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6136" w:type="dxa"/>
            <w:gridSpan w:val="4"/>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小计</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369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远期</w:t>
            </w:r>
          </w:p>
        </w:tc>
        <w:tc>
          <w:tcPr>
            <w:tcW w:w="1004"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产城融合单元</w:t>
            </w: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HZ-DYW-01-01</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127</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西区第六幼儿园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128</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西区第五幼儿园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HZ-DYW-01-02</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129</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泰丰花园幼儿园3</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130</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天润自在城幼儿园1</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131</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天润自在城幼儿园2</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132</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西区第三幼儿园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HZ-DYW-01-04</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133</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华策御水花园幼儿园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HZ-DYW-01-05</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134</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荣盛华府幼儿园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产业发展单元</w:t>
            </w: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HZ-DYW-01-06</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135</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西区规划幼儿园2</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136</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西区规划幼儿园3</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居住生活单元</w:t>
            </w: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HZ-DYW-01-03</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137</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龙光城北区第五幼儿园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138</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龙光城南区第二幼儿园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139</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龙光城南区第三幼儿园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HZ-DYW-02-01</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140</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三远怡和园36栋幼儿园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9</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141</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西区第四幼儿园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6136" w:type="dxa"/>
            <w:gridSpan w:val="4"/>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小计</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192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751" w:type="dxa"/>
            <w:gridSpan w:val="5"/>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888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霞涌街道</w:t>
            </w:r>
          </w:p>
        </w:tc>
        <w:tc>
          <w:tcPr>
            <w:tcW w:w="615"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现状</w:t>
            </w:r>
          </w:p>
        </w:tc>
        <w:tc>
          <w:tcPr>
            <w:tcW w:w="1004"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居住生活单元</w:t>
            </w: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HZ-DYW-03-06</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142</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华浩海悦湾幼儿园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143</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霞涌中心幼儿园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144</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新蕾幼儿园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6136" w:type="dxa"/>
            <w:gridSpan w:val="4"/>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小计</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近期</w:t>
            </w:r>
          </w:p>
        </w:tc>
        <w:tc>
          <w:tcPr>
            <w:tcW w:w="1004"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居住生活单元</w:t>
            </w: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HZ-DYW-03-08</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145</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华润小径湾幼儿园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146</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小径湾海岸城幼儿园</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6136" w:type="dxa"/>
            <w:gridSpan w:val="4"/>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小计</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30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远期</w:t>
            </w:r>
          </w:p>
        </w:tc>
        <w:tc>
          <w:tcPr>
            <w:tcW w:w="1004"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产城融合单元</w:t>
            </w:r>
          </w:p>
        </w:tc>
        <w:tc>
          <w:tcPr>
            <w:tcW w:w="1656"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HZ-DYW-03-04</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147</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霞涌规划幼儿园1</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居住生活单元</w:t>
            </w:r>
          </w:p>
        </w:tc>
        <w:tc>
          <w:tcPr>
            <w:tcW w:w="1656" w:type="dxa"/>
            <w:vMerge w:val="restart"/>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HZ-DYW-03-08</w:t>
            </w: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148</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华润小径湾幼儿园2</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18</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149</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华润小径湾幼儿园3</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1004" w:type="dxa"/>
            <w:vMerge w:val="continue"/>
            <w:shd w:val="clear" w:color="auto" w:fill="auto"/>
            <w:vAlign w:val="center"/>
          </w:tcPr>
          <w:p>
            <w:pPr>
              <w:jc w:val="center"/>
              <w:rPr>
                <w:rFonts w:ascii="宋体" w:hAnsi="宋体" w:eastAsia="宋体" w:cs="宋体"/>
                <w:color w:val="000000"/>
                <w:sz w:val="24"/>
                <w:szCs w:val="24"/>
              </w:rPr>
            </w:pPr>
          </w:p>
        </w:tc>
        <w:tc>
          <w:tcPr>
            <w:tcW w:w="1656" w:type="dxa"/>
            <w:vMerge w:val="continue"/>
            <w:shd w:val="clear" w:color="auto" w:fill="auto"/>
            <w:vAlign w:val="center"/>
          </w:tcPr>
          <w:p>
            <w:pPr>
              <w:jc w:val="center"/>
              <w:rPr>
                <w:rFonts w:ascii="宋体" w:hAnsi="宋体" w:eastAsia="宋体" w:cs="宋体"/>
                <w:color w:val="000000"/>
                <w:sz w:val="24"/>
                <w:szCs w:val="24"/>
              </w:rPr>
            </w:pPr>
          </w:p>
        </w:tc>
        <w:tc>
          <w:tcPr>
            <w:tcW w:w="101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150</w:t>
            </w:r>
          </w:p>
        </w:tc>
        <w:tc>
          <w:tcPr>
            <w:tcW w:w="245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华润小径湾幼儿园4</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15</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15" w:type="dxa"/>
            <w:vMerge w:val="continue"/>
            <w:shd w:val="clear" w:color="auto" w:fill="auto"/>
            <w:vAlign w:val="center"/>
          </w:tcPr>
          <w:p>
            <w:pPr>
              <w:jc w:val="center"/>
              <w:rPr>
                <w:rFonts w:ascii="宋体" w:hAnsi="宋体" w:eastAsia="宋体" w:cs="宋体"/>
                <w:color w:val="000000"/>
                <w:sz w:val="24"/>
                <w:szCs w:val="24"/>
              </w:rPr>
            </w:pPr>
          </w:p>
        </w:tc>
        <w:tc>
          <w:tcPr>
            <w:tcW w:w="6136" w:type="dxa"/>
            <w:gridSpan w:val="4"/>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小计</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60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615" w:type="dxa"/>
            <w:vMerge w:val="continue"/>
            <w:shd w:val="clear" w:color="auto" w:fill="auto"/>
            <w:vAlign w:val="center"/>
          </w:tcPr>
          <w:p>
            <w:pPr>
              <w:jc w:val="center"/>
              <w:rPr>
                <w:rFonts w:ascii="宋体" w:hAnsi="宋体" w:eastAsia="宋体" w:cs="宋体"/>
                <w:color w:val="000000"/>
                <w:sz w:val="24"/>
                <w:szCs w:val="24"/>
              </w:rPr>
            </w:pPr>
          </w:p>
        </w:tc>
        <w:tc>
          <w:tcPr>
            <w:tcW w:w="6751" w:type="dxa"/>
            <w:gridSpan w:val="5"/>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合计</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120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3" w:hRule="atLeast"/>
          <w:jc w:val="center"/>
        </w:trPr>
        <w:tc>
          <w:tcPr>
            <w:tcW w:w="7366" w:type="dxa"/>
            <w:gridSpan w:val="6"/>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总计</w:t>
            </w:r>
          </w:p>
        </w:tc>
        <w:tc>
          <w:tcPr>
            <w:tcW w:w="1148" w:type="dxa"/>
            <w:shd w:val="clear" w:color="auto" w:fill="auto"/>
            <w:vAlign w:val="center"/>
          </w:tcPr>
          <w:p>
            <w:pPr>
              <w:widowControl/>
              <w:jc w:val="center"/>
              <w:textAlignment w:val="center"/>
              <w:rPr>
                <w:rFonts w:ascii="宋体" w:hAnsi="宋体" w:eastAsia="宋体" w:cs="宋体"/>
                <w:color w:val="000000"/>
                <w:sz w:val="24"/>
                <w:szCs w:val="24"/>
              </w:rPr>
            </w:pPr>
            <w:r>
              <w:rPr>
                <w:rFonts w:hint="eastAsia" w:ascii="宋体" w:hAnsi="宋体" w:eastAsia="宋体" w:cs="宋体"/>
                <w:color w:val="000000"/>
                <w:kern w:val="0"/>
                <w:sz w:val="24"/>
                <w:szCs w:val="24"/>
                <w:lang w:bidi="ar"/>
              </w:rPr>
              <w:t>1588</w:t>
            </w:r>
          </w:p>
        </w:tc>
      </w:tr>
    </w:tbl>
    <w:p/>
    <w:sectPr>
      <w:headerReference r:id="rId3" w:type="default"/>
      <w:foot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7A"/>
    <w:family w:val="auto"/>
    <w:pitch w:val="default"/>
    <w:sig w:usb0="E0002AFF" w:usb1="C0007841" w:usb2="00000009" w:usb3="00000000" w:csb0="400001FF" w:csb1="FFFF0000"/>
  </w:font>
  <w:font w:name="宋体">
    <w:panose1 w:val="02010600030101010101"/>
    <w:charset w:val="81"/>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swiss"/>
    <w:pitch w:val="default"/>
    <w:sig w:usb0="80000287" w:usb1="280F3C52" w:usb2="00000016" w:usb3="00000000" w:csb0="0004001F" w:csb1="00000000"/>
  </w:font>
  <w:font w:name="Arial">
    <w:panose1 w:val="020B0604020202020204"/>
    <w:charset w:val="00"/>
    <w:family w:val="swiss"/>
    <w:pitch w:val="default"/>
    <w:sig w:usb0="E0002AFF" w:usb1="C0007843" w:usb2="00000009" w:usb3="00000000" w:csb0="400001FF" w:csb1="FFFF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596361322"/>
    </w:sdtPr>
    <w:sdtContent>
      <w:p>
        <w:pPr>
          <w:pStyle w:val="8"/>
          <w:jc w:val="center"/>
        </w:pPr>
        <w:r>
          <w:fldChar w:fldCharType="begin"/>
        </w:r>
        <w:r>
          <w:instrText xml:space="preserve">PAGE   \* MERGEFORMAT</w:instrText>
        </w:r>
        <w:r>
          <w:fldChar w:fldCharType="separate"/>
        </w:r>
        <w:r>
          <w:rPr>
            <w:lang w:val="zh-CN"/>
          </w:rPr>
          <w:t>2</w:t>
        </w:r>
        <w:r>
          <w:fldChar w:fldCharType="end"/>
        </w:r>
      </w:p>
    </w:sdtContent>
  </w:sdt>
  <w:p>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9"/>
      <w:rPr>
        <w:rFonts w:ascii="宋体" w:hAnsi="宋体" w:eastAsia="宋体"/>
      </w:rPr>
    </w:pPr>
    <w:r>
      <w:rPr>
        <w:rFonts w:hint="eastAsia" w:ascii="宋体" w:hAnsi="宋体" w:eastAsia="宋体"/>
      </w:rPr>
      <w:t>大亚湾开发区学前教育发展布局专项规划（</w:t>
    </w:r>
    <w:r>
      <w:rPr>
        <w:rFonts w:ascii="宋体" w:hAnsi="宋体" w:eastAsia="宋体"/>
      </w:rPr>
      <w:t>2024-2035年）</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F952E1F"/>
    <w:multiLevelType w:val="multilevel"/>
    <w:tmpl w:val="2F952E1F"/>
    <w:lvl w:ilvl="0" w:tentative="0">
      <w:start w:val="1"/>
      <w:numFmt w:val="japaneseCounting"/>
      <w:lvlText w:val="第%1条"/>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61570174"/>
    <w:multiLevelType w:val="multilevel"/>
    <w:tmpl w:val="61570174"/>
    <w:lvl w:ilvl="0" w:tentative="0">
      <w:start w:val="1"/>
      <w:numFmt w:val="decimal"/>
      <w:lvlText w:val="（%1）"/>
      <w:lvlJc w:val="left"/>
      <w:pPr>
        <w:ind w:left="1200" w:hanging="720"/>
      </w:pPr>
      <w:rPr>
        <w:rFonts w:hint="default"/>
      </w:rPr>
    </w:lvl>
    <w:lvl w:ilvl="1" w:tentative="0">
      <w:start w:val="1"/>
      <w:numFmt w:val="lowerLetter"/>
      <w:lvlText w:val="%2)"/>
      <w:lvlJc w:val="left"/>
      <w:pPr>
        <w:ind w:left="1320" w:hanging="420"/>
      </w:pPr>
    </w:lvl>
    <w:lvl w:ilvl="2" w:tentative="0">
      <w:start w:val="1"/>
      <w:numFmt w:val="lowerRoman"/>
      <w:lvlText w:val="%3."/>
      <w:lvlJc w:val="right"/>
      <w:pPr>
        <w:ind w:left="1740" w:hanging="420"/>
      </w:pPr>
    </w:lvl>
    <w:lvl w:ilvl="3" w:tentative="0">
      <w:start w:val="1"/>
      <w:numFmt w:val="decimal"/>
      <w:lvlText w:val="%4."/>
      <w:lvlJc w:val="left"/>
      <w:pPr>
        <w:ind w:left="2160" w:hanging="420"/>
      </w:pPr>
    </w:lvl>
    <w:lvl w:ilvl="4" w:tentative="0">
      <w:start w:val="1"/>
      <w:numFmt w:val="lowerLetter"/>
      <w:lvlText w:val="%5)"/>
      <w:lvlJc w:val="left"/>
      <w:pPr>
        <w:ind w:left="2580" w:hanging="420"/>
      </w:pPr>
    </w:lvl>
    <w:lvl w:ilvl="5" w:tentative="0">
      <w:start w:val="1"/>
      <w:numFmt w:val="lowerRoman"/>
      <w:lvlText w:val="%6."/>
      <w:lvlJc w:val="right"/>
      <w:pPr>
        <w:ind w:left="3000" w:hanging="420"/>
      </w:pPr>
    </w:lvl>
    <w:lvl w:ilvl="6" w:tentative="0">
      <w:start w:val="1"/>
      <w:numFmt w:val="decimal"/>
      <w:lvlText w:val="%7."/>
      <w:lvlJc w:val="left"/>
      <w:pPr>
        <w:ind w:left="3420" w:hanging="420"/>
      </w:pPr>
    </w:lvl>
    <w:lvl w:ilvl="7" w:tentative="0">
      <w:start w:val="1"/>
      <w:numFmt w:val="lowerLetter"/>
      <w:lvlText w:val="%8)"/>
      <w:lvlJc w:val="left"/>
      <w:pPr>
        <w:ind w:left="3840" w:hanging="420"/>
      </w:pPr>
    </w:lvl>
    <w:lvl w:ilvl="8" w:tentative="0">
      <w:start w:val="1"/>
      <w:numFmt w:val="lowerRoman"/>
      <w:lvlText w:val="%9."/>
      <w:lvlJc w:val="right"/>
      <w:pPr>
        <w:ind w:left="4260" w:hanging="420"/>
      </w:pPr>
    </w:lvl>
  </w:abstractNum>
  <w:abstractNum w:abstractNumId="2">
    <w:nsid w:val="680A2394"/>
    <w:multiLevelType w:val="multilevel"/>
    <w:tmpl w:val="680A2394"/>
    <w:lvl w:ilvl="0" w:tentative="0">
      <w:start w:val="1"/>
      <w:numFmt w:val="japaneseCounting"/>
      <w:lvlText w:val="第%1章"/>
      <w:lvlJc w:val="left"/>
      <w:pPr>
        <w:ind w:left="420" w:hanging="4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690F10E3"/>
    <w:multiLevelType w:val="singleLevel"/>
    <w:tmpl w:val="690F10E3"/>
    <w:lvl w:ilvl="0" w:tentative="0">
      <w:start w:val="1"/>
      <w:numFmt w:val="decimal"/>
      <w:suff w:val="nothing"/>
      <w:lvlText w:val="（%1）"/>
      <w:lvlJc w:val="left"/>
    </w:lvl>
  </w:abstractNum>
  <w:num w:numId="1">
    <w:abstractNumId w:val="2"/>
  </w:num>
  <w:num w:numId="2">
    <w:abstractNumId w:val="0"/>
  </w:num>
  <w:num w:numId="3">
    <w:abstractNumId w:val="1"/>
  </w:num>
  <w:num w:numId="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B1B5F"/>
    <w:rsid w:val="000E362F"/>
    <w:rsid w:val="0012291B"/>
    <w:rsid w:val="00151E7B"/>
    <w:rsid w:val="002714F7"/>
    <w:rsid w:val="00286FA3"/>
    <w:rsid w:val="002E24E2"/>
    <w:rsid w:val="0031139A"/>
    <w:rsid w:val="00342323"/>
    <w:rsid w:val="00437F1A"/>
    <w:rsid w:val="004761C8"/>
    <w:rsid w:val="004A189C"/>
    <w:rsid w:val="004C48A2"/>
    <w:rsid w:val="00501A75"/>
    <w:rsid w:val="00620E13"/>
    <w:rsid w:val="006B47F1"/>
    <w:rsid w:val="00842A16"/>
    <w:rsid w:val="00870841"/>
    <w:rsid w:val="00AE44EB"/>
    <w:rsid w:val="00B52037"/>
    <w:rsid w:val="00B9647A"/>
    <w:rsid w:val="00BA71BD"/>
    <w:rsid w:val="00BF4E8B"/>
    <w:rsid w:val="00C2038E"/>
    <w:rsid w:val="00C91425"/>
    <w:rsid w:val="00D15706"/>
    <w:rsid w:val="00DB1B5F"/>
    <w:rsid w:val="00DF49D9"/>
    <w:rsid w:val="00ED529F"/>
    <w:rsid w:val="00EE16CA"/>
    <w:rsid w:val="00FA0085"/>
    <w:rsid w:val="00FC3267"/>
    <w:rsid w:val="0D061564"/>
    <w:rsid w:val="155C24E3"/>
    <w:rsid w:val="1CBA7EFA"/>
    <w:rsid w:val="71E10B31"/>
    <w:rsid w:val="73E80FC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3">
    <w:name w:val="heading 1"/>
    <w:basedOn w:val="1"/>
    <w:next w:val="1"/>
    <w:link w:val="19"/>
    <w:qFormat/>
    <w:uiPriority w:val="0"/>
    <w:pPr>
      <w:keepNext/>
      <w:keepLines/>
      <w:spacing w:before="340" w:after="330" w:line="578" w:lineRule="auto"/>
      <w:outlineLvl w:val="0"/>
    </w:pPr>
    <w:rPr>
      <w:b/>
      <w:bCs/>
      <w:kern w:val="44"/>
      <w:sz w:val="44"/>
      <w:szCs w:val="44"/>
    </w:rPr>
  </w:style>
  <w:style w:type="paragraph" w:styleId="4">
    <w:name w:val="heading 2"/>
    <w:basedOn w:val="1"/>
    <w:next w:val="1"/>
    <w:link w:val="18"/>
    <w:unhideWhenUsed/>
    <w:qFormat/>
    <w:uiPriority w:val="0"/>
    <w:pPr>
      <w:keepNext/>
      <w:keepLines/>
      <w:spacing w:before="260" w:after="260" w:line="416" w:lineRule="auto"/>
      <w:outlineLvl w:val="1"/>
    </w:pPr>
    <w:rPr>
      <w:rFonts w:asciiTheme="majorHAnsi" w:hAnsiTheme="majorHAnsi" w:eastAsiaTheme="majorEastAsia" w:cstheme="majorBidi"/>
      <w:b/>
      <w:bCs/>
      <w:sz w:val="32"/>
      <w:szCs w:val="32"/>
    </w:rPr>
  </w:style>
  <w:style w:type="paragraph" w:styleId="5">
    <w:name w:val="heading 3"/>
    <w:basedOn w:val="1"/>
    <w:next w:val="1"/>
    <w:link w:val="21"/>
    <w:semiHidden/>
    <w:unhideWhenUsed/>
    <w:qFormat/>
    <w:uiPriority w:val="9"/>
    <w:pPr>
      <w:keepNext/>
      <w:keepLines/>
      <w:spacing w:before="260" w:after="260" w:line="416" w:lineRule="auto"/>
      <w:outlineLvl w:val="2"/>
    </w:pPr>
    <w:rPr>
      <w:b/>
      <w:bCs/>
      <w:sz w:val="32"/>
      <w:szCs w:val="32"/>
    </w:rPr>
  </w:style>
  <w:style w:type="character" w:default="1" w:styleId="15">
    <w:name w:val="Default Paragraph Font"/>
    <w:semiHidden/>
    <w:unhideWhenUsed/>
    <w:qFormat/>
    <w:uiPriority w:val="1"/>
  </w:style>
  <w:style w:type="table" w:default="1" w:styleId="13">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20"/>
    <w:unhideWhenUsed/>
    <w:qFormat/>
    <w:uiPriority w:val="1"/>
    <w:pPr>
      <w:spacing w:after="120"/>
    </w:pPr>
  </w:style>
  <w:style w:type="paragraph" w:styleId="6">
    <w:name w:val="toc 3"/>
    <w:basedOn w:val="1"/>
    <w:next w:val="1"/>
    <w:unhideWhenUsed/>
    <w:qFormat/>
    <w:uiPriority w:val="39"/>
    <w:pPr>
      <w:keepNext/>
      <w:keepLines/>
      <w:widowControl/>
      <w:ind w:left="210"/>
      <w:jc w:val="left"/>
    </w:pPr>
    <w:rPr>
      <w:rFonts w:ascii="黑体" w:hAnsi="黑体" w:eastAsia="黑体" w:cs="Times New Roman"/>
      <w:bCs/>
      <w:kern w:val="0"/>
      <w:sz w:val="22"/>
      <w:szCs w:val="28"/>
    </w:rPr>
  </w:style>
  <w:style w:type="paragraph" w:styleId="7">
    <w:name w:val="Balloon Text"/>
    <w:basedOn w:val="1"/>
    <w:link w:val="63"/>
    <w:semiHidden/>
    <w:unhideWhenUsed/>
    <w:qFormat/>
    <w:uiPriority w:val="99"/>
    <w:rPr>
      <w:sz w:val="18"/>
      <w:szCs w:val="18"/>
    </w:rPr>
  </w:style>
  <w:style w:type="paragraph" w:styleId="8">
    <w:name w:val="footer"/>
    <w:basedOn w:val="1"/>
    <w:link w:val="22"/>
    <w:unhideWhenUsed/>
    <w:qFormat/>
    <w:uiPriority w:val="99"/>
    <w:pPr>
      <w:tabs>
        <w:tab w:val="center" w:pos="4153"/>
        <w:tab w:val="right" w:pos="8306"/>
      </w:tabs>
      <w:snapToGrid w:val="0"/>
      <w:jc w:val="left"/>
    </w:pPr>
    <w:rPr>
      <w:sz w:val="18"/>
      <w:szCs w:val="18"/>
    </w:rPr>
  </w:style>
  <w:style w:type="paragraph" w:styleId="9">
    <w:name w:val="header"/>
    <w:basedOn w:val="1"/>
    <w:link w:val="23"/>
    <w:unhideWhenUsed/>
    <w:qFormat/>
    <w:uiPriority w:val="99"/>
    <w:pPr>
      <w:pBdr>
        <w:bottom w:val="single" w:color="auto" w:sz="6" w:space="1"/>
      </w:pBdr>
      <w:tabs>
        <w:tab w:val="center" w:pos="4153"/>
        <w:tab w:val="right" w:pos="8306"/>
      </w:tabs>
      <w:snapToGrid w:val="0"/>
      <w:jc w:val="center"/>
    </w:pPr>
    <w:rPr>
      <w:sz w:val="18"/>
      <w:szCs w:val="18"/>
    </w:rPr>
  </w:style>
  <w:style w:type="paragraph" w:styleId="10">
    <w:name w:val="toc 1"/>
    <w:basedOn w:val="4"/>
    <w:next w:val="2"/>
    <w:unhideWhenUsed/>
    <w:qFormat/>
    <w:uiPriority w:val="39"/>
    <w:pPr>
      <w:widowControl/>
      <w:spacing w:before="120" w:after="120" w:line="240" w:lineRule="auto"/>
      <w:jc w:val="left"/>
    </w:pPr>
    <w:rPr>
      <w:rFonts w:eastAsia="黑体" w:cs="Times New Roman"/>
      <w:kern w:val="0"/>
      <w:sz w:val="24"/>
    </w:rPr>
  </w:style>
  <w:style w:type="paragraph" w:styleId="11">
    <w:name w:val="toc 2"/>
    <w:basedOn w:val="4"/>
    <w:next w:val="1"/>
    <w:unhideWhenUsed/>
    <w:qFormat/>
    <w:uiPriority w:val="39"/>
    <w:pPr>
      <w:widowControl/>
      <w:spacing w:before="120" w:after="120" w:line="240" w:lineRule="auto"/>
      <w:jc w:val="left"/>
      <w:outlineLvl w:val="9"/>
    </w:pPr>
    <w:rPr>
      <w:rFonts w:eastAsia="黑体"/>
      <w:kern w:val="0"/>
      <w:sz w:val="24"/>
    </w:rPr>
  </w:style>
  <w:style w:type="paragraph" w:styleId="12">
    <w:name w:val="Normal (Web)"/>
    <w:basedOn w:val="1"/>
    <w:unhideWhenUsed/>
    <w:qFormat/>
    <w:uiPriority w:val="99"/>
    <w:pPr>
      <w:widowControl/>
      <w:spacing w:before="100" w:beforeAutospacing="1" w:after="100" w:afterAutospacing="1"/>
      <w:jc w:val="left"/>
    </w:pPr>
    <w:rPr>
      <w:rFonts w:ascii="宋体" w:hAnsi="宋体" w:eastAsia="宋体" w:cs="宋体"/>
      <w:kern w:val="0"/>
      <w:sz w:val="24"/>
      <w:szCs w:val="24"/>
    </w:rPr>
  </w:style>
  <w:style w:type="table" w:styleId="14">
    <w:name w:val="Table Grid"/>
    <w:basedOn w:val="13"/>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6">
    <w:name w:val="FollowedHyperlink"/>
    <w:basedOn w:val="15"/>
    <w:semiHidden/>
    <w:unhideWhenUsed/>
    <w:qFormat/>
    <w:uiPriority w:val="99"/>
    <w:rPr>
      <w:color w:val="954F72"/>
      <w:u w:val="single"/>
    </w:rPr>
  </w:style>
  <w:style w:type="character" w:styleId="17">
    <w:name w:val="Hyperlink"/>
    <w:basedOn w:val="15"/>
    <w:unhideWhenUsed/>
    <w:qFormat/>
    <w:uiPriority w:val="99"/>
    <w:rPr>
      <w:color w:val="0563C1" w:themeColor="hyperlink"/>
      <w:u w:val="single"/>
      <w14:textFill>
        <w14:solidFill>
          <w14:schemeClr w14:val="hlink"/>
        </w14:solidFill>
      </w14:textFill>
    </w:rPr>
  </w:style>
  <w:style w:type="character" w:customStyle="1" w:styleId="18">
    <w:name w:val="标题 2 字符"/>
    <w:basedOn w:val="15"/>
    <w:link w:val="4"/>
    <w:qFormat/>
    <w:uiPriority w:val="0"/>
    <w:rPr>
      <w:rFonts w:asciiTheme="majorHAnsi" w:hAnsiTheme="majorHAnsi" w:eastAsiaTheme="majorEastAsia" w:cstheme="majorBidi"/>
      <w:b/>
      <w:bCs/>
      <w:sz w:val="32"/>
      <w:szCs w:val="32"/>
    </w:rPr>
  </w:style>
  <w:style w:type="character" w:customStyle="1" w:styleId="19">
    <w:name w:val="标题 1 字符"/>
    <w:basedOn w:val="15"/>
    <w:link w:val="3"/>
    <w:qFormat/>
    <w:uiPriority w:val="0"/>
    <w:rPr>
      <w:b/>
      <w:bCs/>
      <w:kern w:val="44"/>
      <w:sz w:val="44"/>
      <w:szCs w:val="44"/>
    </w:rPr>
  </w:style>
  <w:style w:type="character" w:customStyle="1" w:styleId="20">
    <w:name w:val="正文文本 字符"/>
    <w:basedOn w:val="15"/>
    <w:link w:val="2"/>
    <w:qFormat/>
    <w:uiPriority w:val="1"/>
  </w:style>
  <w:style w:type="character" w:customStyle="1" w:styleId="21">
    <w:name w:val="标题 3 字符"/>
    <w:basedOn w:val="15"/>
    <w:link w:val="5"/>
    <w:semiHidden/>
    <w:qFormat/>
    <w:uiPriority w:val="9"/>
    <w:rPr>
      <w:b/>
      <w:bCs/>
      <w:sz w:val="32"/>
      <w:szCs w:val="32"/>
    </w:rPr>
  </w:style>
  <w:style w:type="character" w:customStyle="1" w:styleId="22">
    <w:name w:val="页脚 字符"/>
    <w:basedOn w:val="15"/>
    <w:link w:val="8"/>
    <w:qFormat/>
    <w:uiPriority w:val="99"/>
    <w:rPr>
      <w:sz w:val="18"/>
      <w:szCs w:val="18"/>
    </w:rPr>
  </w:style>
  <w:style w:type="character" w:customStyle="1" w:styleId="23">
    <w:name w:val="页眉 字符"/>
    <w:basedOn w:val="15"/>
    <w:link w:val="9"/>
    <w:qFormat/>
    <w:uiPriority w:val="99"/>
    <w:rPr>
      <w:sz w:val="18"/>
      <w:szCs w:val="18"/>
    </w:rPr>
  </w:style>
  <w:style w:type="paragraph" w:styleId="24">
    <w:name w:val="List Paragraph"/>
    <w:basedOn w:val="1"/>
    <w:qFormat/>
    <w:uiPriority w:val="34"/>
    <w:pPr>
      <w:ind w:firstLine="420" w:firstLineChars="200"/>
    </w:pPr>
  </w:style>
  <w:style w:type="paragraph" w:customStyle="1" w:styleId="25">
    <w:name w:val="标题3"/>
    <w:basedOn w:val="5"/>
    <w:link w:val="26"/>
    <w:qFormat/>
    <w:uiPriority w:val="0"/>
    <w:pPr>
      <w:spacing w:before="20" w:after="93" w:afterLines="30" w:line="400" w:lineRule="exact"/>
    </w:pPr>
    <w:rPr>
      <w:rFonts w:ascii="黑体" w:hAnsi="黑体" w:eastAsia="黑体" w:cs="Times New Roman"/>
      <w:sz w:val="28"/>
      <w:szCs w:val="28"/>
    </w:rPr>
  </w:style>
  <w:style w:type="character" w:customStyle="1" w:styleId="26">
    <w:name w:val="标题3 字符"/>
    <w:basedOn w:val="21"/>
    <w:link w:val="25"/>
    <w:qFormat/>
    <w:uiPriority w:val="0"/>
    <w:rPr>
      <w:rFonts w:ascii="黑体" w:hAnsi="黑体" w:eastAsia="黑体" w:cs="Times New Roman"/>
      <w:sz w:val="28"/>
      <w:szCs w:val="28"/>
    </w:rPr>
  </w:style>
  <w:style w:type="paragraph" w:customStyle="1" w:styleId="27">
    <w:name w:val="TOC 标题1"/>
    <w:basedOn w:val="3"/>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E75B6" w:themeColor="accent1" w:themeShade="BF"/>
      <w:kern w:val="0"/>
      <w:sz w:val="32"/>
      <w:szCs w:val="32"/>
    </w:rPr>
  </w:style>
  <w:style w:type="paragraph" w:customStyle="1" w:styleId="28">
    <w:name w:val="msonormal"/>
    <w:basedOn w:val="1"/>
    <w:qFormat/>
    <w:uiPriority w:val="0"/>
    <w:pPr>
      <w:widowControl/>
      <w:spacing w:before="100" w:beforeAutospacing="1" w:after="100" w:afterAutospacing="1"/>
      <w:jc w:val="left"/>
    </w:pPr>
    <w:rPr>
      <w:rFonts w:ascii="宋体" w:hAnsi="宋体" w:eastAsia="宋体" w:cs="宋体"/>
      <w:kern w:val="0"/>
      <w:sz w:val="24"/>
      <w:szCs w:val="24"/>
    </w:rPr>
  </w:style>
  <w:style w:type="paragraph" w:customStyle="1" w:styleId="29">
    <w:name w:val="font5"/>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30">
    <w:name w:val="xl60"/>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31">
    <w:name w:val="xl61"/>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kern w:val="0"/>
      <w:sz w:val="24"/>
      <w:szCs w:val="24"/>
    </w:rPr>
  </w:style>
  <w:style w:type="paragraph" w:customStyle="1" w:styleId="32">
    <w:name w:val="xl62"/>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kern w:val="0"/>
      <w:sz w:val="24"/>
      <w:szCs w:val="24"/>
    </w:rPr>
  </w:style>
  <w:style w:type="paragraph" w:customStyle="1" w:styleId="33">
    <w:name w:val="xl63"/>
    <w:basedOn w:val="1"/>
    <w:qFormat/>
    <w:uiPriority w:val="0"/>
    <w:pPr>
      <w:widowControl/>
      <w:spacing w:before="100" w:beforeAutospacing="1" w:after="100" w:afterAutospacing="1"/>
      <w:jc w:val="center"/>
    </w:pPr>
    <w:rPr>
      <w:rFonts w:ascii="宋体" w:hAnsi="宋体" w:eastAsia="宋体" w:cs="宋体"/>
      <w:kern w:val="0"/>
      <w:sz w:val="24"/>
      <w:szCs w:val="24"/>
    </w:rPr>
  </w:style>
  <w:style w:type="paragraph" w:customStyle="1" w:styleId="34">
    <w:name w:val="xl64"/>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微软雅黑" w:hAnsi="微软雅黑" w:eastAsia="微软雅黑" w:cs="宋体"/>
      <w:b/>
      <w:bCs/>
      <w:color w:val="000000"/>
      <w:kern w:val="0"/>
      <w:sz w:val="16"/>
      <w:szCs w:val="16"/>
    </w:rPr>
  </w:style>
  <w:style w:type="paragraph" w:customStyle="1" w:styleId="35">
    <w:name w:val="xl65"/>
    <w:basedOn w:val="1"/>
    <w:qFormat/>
    <w:uiPriority w:val="0"/>
    <w:pPr>
      <w:widowControl/>
      <w:pBdr>
        <w:top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36">
    <w:name w:val="xl66"/>
    <w:basedOn w:val="1"/>
    <w:qFormat/>
    <w:uiPriority w:val="0"/>
    <w:pPr>
      <w:widowControl/>
      <w:pBdr>
        <w:top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37">
    <w:name w:val="font0"/>
    <w:basedOn w:val="1"/>
    <w:qFormat/>
    <w:uiPriority w:val="0"/>
    <w:pPr>
      <w:widowControl/>
      <w:spacing w:before="100" w:beforeAutospacing="1" w:after="100" w:afterAutospacing="1"/>
      <w:jc w:val="left"/>
    </w:pPr>
    <w:rPr>
      <w:rFonts w:ascii="Arial" w:hAnsi="Arial" w:eastAsia="宋体" w:cs="Arial"/>
      <w:kern w:val="0"/>
      <w:sz w:val="20"/>
      <w:szCs w:val="20"/>
    </w:rPr>
  </w:style>
  <w:style w:type="paragraph" w:customStyle="1" w:styleId="38">
    <w:name w:val="font6"/>
    <w:basedOn w:val="1"/>
    <w:qFormat/>
    <w:uiPriority w:val="0"/>
    <w:pPr>
      <w:widowControl/>
      <w:spacing w:before="100" w:beforeAutospacing="1" w:after="100" w:afterAutospacing="1"/>
      <w:jc w:val="left"/>
    </w:pPr>
    <w:rPr>
      <w:rFonts w:ascii="宋体" w:hAnsi="宋体" w:eastAsia="宋体" w:cs="宋体"/>
      <w:kern w:val="0"/>
      <w:sz w:val="18"/>
      <w:szCs w:val="18"/>
    </w:rPr>
  </w:style>
  <w:style w:type="paragraph" w:customStyle="1" w:styleId="39">
    <w:name w:val="font7"/>
    <w:basedOn w:val="1"/>
    <w:qFormat/>
    <w:uiPriority w:val="0"/>
    <w:pPr>
      <w:widowControl/>
      <w:spacing w:before="100" w:beforeAutospacing="1" w:after="100" w:afterAutospacing="1"/>
      <w:jc w:val="left"/>
    </w:pPr>
    <w:rPr>
      <w:rFonts w:ascii="宋体" w:hAnsi="宋体" w:eastAsia="宋体" w:cs="宋体"/>
      <w:kern w:val="0"/>
      <w:sz w:val="20"/>
      <w:szCs w:val="20"/>
    </w:rPr>
  </w:style>
  <w:style w:type="paragraph" w:customStyle="1" w:styleId="40">
    <w:name w:val="xl67"/>
    <w:basedOn w:val="1"/>
    <w:qFormat/>
    <w:uiPriority w:val="0"/>
    <w:pPr>
      <w:widowControl/>
      <w:pBdr>
        <w:top w:val="single" w:color="auto" w:sz="8" w:space="0"/>
        <w:left w:val="single" w:color="auto" w:sz="8" w:space="0"/>
        <w:bottom w:val="single" w:color="auto" w:sz="8" w:space="0"/>
        <w:right w:val="single" w:color="auto" w:sz="8" w:space="0"/>
      </w:pBdr>
      <w:spacing w:before="100" w:beforeAutospacing="1" w:after="100" w:afterAutospacing="1"/>
      <w:jc w:val="center"/>
    </w:pPr>
    <w:rPr>
      <w:rFonts w:ascii="宋体" w:hAnsi="宋体" w:eastAsia="宋体" w:cs="宋体"/>
      <w:color w:val="000000"/>
      <w:kern w:val="0"/>
      <w:sz w:val="24"/>
      <w:szCs w:val="24"/>
    </w:rPr>
  </w:style>
  <w:style w:type="paragraph" w:customStyle="1" w:styleId="41">
    <w:name w:val="xl68"/>
    <w:basedOn w:val="1"/>
    <w:qFormat/>
    <w:uiPriority w:val="0"/>
    <w:pPr>
      <w:widowControl/>
      <w:pBdr>
        <w:top w:val="single" w:color="auto" w:sz="8" w:space="0"/>
        <w:bottom w:val="single" w:color="auto" w:sz="8" w:space="0"/>
        <w:right w:val="single" w:color="auto" w:sz="8" w:space="0"/>
      </w:pBdr>
      <w:spacing w:before="100" w:beforeAutospacing="1" w:after="100" w:afterAutospacing="1"/>
      <w:jc w:val="center"/>
    </w:pPr>
    <w:rPr>
      <w:rFonts w:ascii="宋体" w:hAnsi="宋体" w:eastAsia="宋体" w:cs="宋体"/>
      <w:color w:val="000000"/>
      <w:kern w:val="0"/>
      <w:sz w:val="24"/>
      <w:szCs w:val="24"/>
    </w:rPr>
  </w:style>
  <w:style w:type="paragraph" w:customStyle="1" w:styleId="42">
    <w:name w:val="xl69"/>
    <w:basedOn w:val="1"/>
    <w:qFormat/>
    <w:uiPriority w:val="0"/>
    <w:pPr>
      <w:widowControl/>
      <w:pBdr>
        <w:bottom w:val="single" w:color="auto" w:sz="8" w:space="0"/>
        <w:right w:val="single" w:color="auto" w:sz="8" w:space="0"/>
      </w:pBdr>
      <w:spacing w:before="100" w:beforeAutospacing="1" w:after="100" w:afterAutospacing="1"/>
      <w:jc w:val="center"/>
    </w:pPr>
    <w:rPr>
      <w:rFonts w:ascii="宋体" w:hAnsi="宋体" w:eastAsia="宋体" w:cs="宋体"/>
      <w:kern w:val="0"/>
      <w:sz w:val="24"/>
      <w:szCs w:val="24"/>
    </w:rPr>
  </w:style>
  <w:style w:type="paragraph" w:customStyle="1" w:styleId="43">
    <w:name w:val="xl70"/>
    <w:basedOn w:val="1"/>
    <w:qFormat/>
    <w:uiPriority w:val="0"/>
    <w:pPr>
      <w:widowControl/>
      <w:pBdr>
        <w:bottom w:val="single" w:color="auto" w:sz="8" w:space="0"/>
        <w:right w:val="single" w:color="auto" w:sz="8" w:space="0"/>
      </w:pBdr>
      <w:spacing w:before="100" w:beforeAutospacing="1" w:after="100" w:afterAutospacing="1"/>
      <w:jc w:val="center"/>
    </w:pPr>
    <w:rPr>
      <w:rFonts w:ascii="宋体" w:hAnsi="宋体" w:eastAsia="宋体" w:cs="宋体"/>
      <w:kern w:val="0"/>
      <w:sz w:val="24"/>
      <w:szCs w:val="24"/>
    </w:rPr>
  </w:style>
  <w:style w:type="paragraph" w:customStyle="1" w:styleId="44">
    <w:name w:val="xl71"/>
    <w:basedOn w:val="1"/>
    <w:qFormat/>
    <w:uiPriority w:val="0"/>
    <w:pPr>
      <w:widowControl/>
      <w:pBdr>
        <w:left w:val="single" w:color="auto" w:sz="8" w:space="0"/>
        <w:right w:val="single" w:color="auto" w:sz="8" w:space="0"/>
      </w:pBdr>
      <w:spacing w:before="100" w:beforeAutospacing="1" w:after="100" w:afterAutospacing="1"/>
      <w:jc w:val="center"/>
    </w:pPr>
    <w:rPr>
      <w:rFonts w:ascii="宋体" w:hAnsi="宋体" w:eastAsia="宋体" w:cs="宋体"/>
      <w:kern w:val="0"/>
      <w:sz w:val="24"/>
      <w:szCs w:val="24"/>
    </w:rPr>
  </w:style>
  <w:style w:type="paragraph" w:customStyle="1" w:styleId="45">
    <w:name w:val="xl72"/>
    <w:basedOn w:val="1"/>
    <w:qFormat/>
    <w:uiPriority w:val="0"/>
    <w:pPr>
      <w:widowControl/>
      <w:pBdr>
        <w:top w:val="single" w:color="auto" w:sz="8" w:space="0"/>
        <w:left w:val="single" w:color="auto" w:sz="8" w:space="0"/>
        <w:right w:val="single" w:color="auto" w:sz="8" w:space="0"/>
      </w:pBdr>
      <w:spacing w:before="100" w:beforeAutospacing="1" w:after="100" w:afterAutospacing="1"/>
      <w:jc w:val="center"/>
    </w:pPr>
    <w:rPr>
      <w:rFonts w:ascii="宋体" w:hAnsi="宋体" w:eastAsia="宋体" w:cs="宋体"/>
      <w:kern w:val="0"/>
      <w:sz w:val="24"/>
      <w:szCs w:val="24"/>
    </w:rPr>
  </w:style>
  <w:style w:type="paragraph" w:customStyle="1" w:styleId="46">
    <w:name w:val="xl73"/>
    <w:basedOn w:val="1"/>
    <w:qFormat/>
    <w:uiPriority w:val="0"/>
    <w:pPr>
      <w:widowControl/>
      <w:pBdr>
        <w:left w:val="single" w:color="auto" w:sz="8" w:space="0"/>
        <w:bottom w:val="single" w:color="auto" w:sz="8" w:space="0"/>
        <w:right w:val="single" w:color="auto" w:sz="8" w:space="0"/>
      </w:pBdr>
      <w:spacing w:before="100" w:beforeAutospacing="1" w:after="100" w:afterAutospacing="1"/>
      <w:jc w:val="center"/>
    </w:pPr>
    <w:rPr>
      <w:rFonts w:ascii="宋体" w:hAnsi="宋体" w:eastAsia="宋体" w:cs="宋体"/>
      <w:kern w:val="0"/>
      <w:sz w:val="24"/>
      <w:szCs w:val="24"/>
    </w:rPr>
  </w:style>
  <w:style w:type="paragraph" w:customStyle="1" w:styleId="47">
    <w:name w:val="xl74"/>
    <w:basedOn w:val="1"/>
    <w:qFormat/>
    <w:uiPriority w:val="0"/>
    <w:pPr>
      <w:widowControl/>
      <w:pBdr>
        <w:right w:val="single" w:color="auto" w:sz="8" w:space="0"/>
      </w:pBdr>
      <w:spacing w:before="100" w:beforeAutospacing="1" w:after="100" w:afterAutospacing="1"/>
      <w:jc w:val="center"/>
    </w:pPr>
    <w:rPr>
      <w:rFonts w:ascii="宋体" w:hAnsi="宋体" w:eastAsia="宋体" w:cs="宋体"/>
      <w:kern w:val="0"/>
      <w:sz w:val="24"/>
      <w:szCs w:val="24"/>
    </w:rPr>
  </w:style>
  <w:style w:type="paragraph" w:customStyle="1" w:styleId="48">
    <w:name w:val="xl75"/>
    <w:basedOn w:val="1"/>
    <w:qFormat/>
    <w:uiPriority w:val="0"/>
    <w:pPr>
      <w:widowControl/>
      <w:pBdr>
        <w:bottom w:val="single" w:color="auto" w:sz="8" w:space="0"/>
      </w:pBdr>
      <w:spacing w:before="100" w:beforeAutospacing="1" w:after="100" w:afterAutospacing="1"/>
      <w:jc w:val="center"/>
    </w:pPr>
    <w:rPr>
      <w:rFonts w:ascii="宋体" w:hAnsi="宋体" w:eastAsia="宋体" w:cs="宋体"/>
      <w:kern w:val="0"/>
      <w:sz w:val="24"/>
      <w:szCs w:val="24"/>
    </w:rPr>
  </w:style>
  <w:style w:type="paragraph" w:customStyle="1" w:styleId="49">
    <w:name w:val="xl76"/>
    <w:basedOn w:val="1"/>
    <w:qFormat/>
    <w:uiPriority w:val="0"/>
    <w:pPr>
      <w:widowControl/>
      <w:pBdr>
        <w:top w:val="single" w:color="auto" w:sz="8" w:space="0"/>
        <w:left w:val="single" w:color="auto" w:sz="8" w:space="0"/>
        <w:bottom w:val="single" w:color="auto" w:sz="8" w:space="0"/>
      </w:pBdr>
      <w:spacing w:before="100" w:beforeAutospacing="1" w:after="100" w:afterAutospacing="1"/>
      <w:jc w:val="center"/>
    </w:pPr>
    <w:rPr>
      <w:rFonts w:ascii="宋体" w:hAnsi="宋体" w:eastAsia="宋体" w:cs="宋体"/>
      <w:kern w:val="0"/>
      <w:sz w:val="24"/>
      <w:szCs w:val="24"/>
    </w:rPr>
  </w:style>
  <w:style w:type="paragraph" w:customStyle="1" w:styleId="50">
    <w:name w:val="xl77"/>
    <w:basedOn w:val="1"/>
    <w:qFormat/>
    <w:uiPriority w:val="0"/>
    <w:pPr>
      <w:widowControl/>
      <w:pBdr>
        <w:top w:val="single" w:color="auto" w:sz="8" w:space="0"/>
        <w:bottom w:val="single" w:color="auto" w:sz="8" w:space="0"/>
      </w:pBdr>
      <w:spacing w:before="100" w:beforeAutospacing="1" w:after="100" w:afterAutospacing="1"/>
      <w:jc w:val="center"/>
    </w:pPr>
    <w:rPr>
      <w:rFonts w:ascii="宋体" w:hAnsi="宋体" w:eastAsia="宋体" w:cs="宋体"/>
      <w:kern w:val="0"/>
      <w:sz w:val="24"/>
      <w:szCs w:val="24"/>
    </w:rPr>
  </w:style>
  <w:style w:type="paragraph" w:customStyle="1" w:styleId="51">
    <w:name w:val="xl78"/>
    <w:basedOn w:val="1"/>
    <w:qFormat/>
    <w:uiPriority w:val="0"/>
    <w:pPr>
      <w:widowControl/>
      <w:pBdr>
        <w:top w:val="single" w:color="auto" w:sz="8" w:space="0"/>
        <w:bottom w:val="single" w:color="auto" w:sz="8" w:space="0"/>
        <w:right w:val="single" w:color="auto" w:sz="8" w:space="0"/>
      </w:pBdr>
      <w:spacing w:before="100" w:beforeAutospacing="1" w:after="100" w:afterAutospacing="1"/>
      <w:jc w:val="center"/>
    </w:pPr>
    <w:rPr>
      <w:rFonts w:ascii="宋体" w:hAnsi="宋体" w:eastAsia="宋体" w:cs="宋体"/>
      <w:kern w:val="0"/>
      <w:sz w:val="24"/>
      <w:szCs w:val="24"/>
    </w:rPr>
  </w:style>
  <w:style w:type="paragraph" w:customStyle="1" w:styleId="52">
    <w:name w:val="xl79"/>
    <w:basedOn w:val="1"/>
    <w:qFormat/>
    <w:uiPriority w:val="0"/>
    <w:pPr>
      <w:widowControl/>
      <w:pBdr>
        <w:left w:val="single" w:color="auto" w:sz="8" w:space="0"/>
        <w:bottom w:val="single" w:color="auto" w:sz="8" w:space="0"/>
      </w:pBdr>
      <w:spacing w:before="100" w:beforeAutospacing="1" w:after="100" w:afterAutospacing="1"/>
      <w:jc w:val="center"/>
    </w:pPr>
    <w:rPr>
      <w:rFonts w:ascii="宋体" w:hAnsi="宋体" w:eastAsia="宋体" w:cs="宋体"/>
      <w:kern w:val="0"/>
      <w:sz w:val="24"/>
      <w:szCs w:val="24"/>
    </w:rPr>
  </w:style>
  <w:style w:type="paragraph" w:customStyle="1" w:styleId="53">
    <w:name w:val="xl80"/>
    <w:basedOn w:val="1"/>
    <w:qFormat/>
    <w:uiPriority w:val="0"/>
    <w:pPr>
      <w:widowControl/>
      <w:pBdr>
        <w:top w:val="single" w:color="auto" w:sz="8" w:space="0"/>
        <w:left w:val="single" w:color="auto" w:sz="8" w:space="0"/>
        <w:right w:val="single" w:color="auto" w:sz="8" w:space="0"/>
      </w:pBdr>
      <w:spacing w:before="100" w:beforeAutospacing="1" w:after="100" w:afterAutospacing="1"/>
      <w:jc w:val="left"/>
    </w:pPr>
    <w:rPr>
      <w:rFonts w:ascii="宋体" w:hAnsi="宋体" w:eastAsia="宋体" w:cs="宋体"/>
      <w:kern w:val="0"/>
      <w:sz w:val="24"/>
      <w:szCs w:val="24"/>
    </w:rPr>
  </w:style>
  <w:style w:type="paragraph" w:customStyle="1" w:styleId="54">
    <w:name w:val="xl81"/>
    <w:basedOn w:val="1"/>
    <w:qFormat/>
    <w:uiPriority w:val="0"/>
    <w:pPr>
      <w:widowControl/>
      <w:pBdr>
        <w:left w:val="single" w:color="auto" w:sz="8" w:space="0"/>
        <w:right w:val="single" w:color="auto" w:sz="8" w:space="0"/>
      </w:pBdr>
      <w:spacing w:before="100" w:beforeAutospacing="1" w:after="100" w:afterAutospacing="1"/>
      <w:jc w:val="left"/>
    </w:pPr>
    <w:rPr>
      <w:rFonts w:ascii="宋体" w:hAnsi="宋体" w:eastAsia="宋体" w:cs="宋体"/>
      <w:kern w:val="0"/>
      <w:sz w:val="24"/>
      <w:szCs w:val="24"/>
    </w:rPr>
  </w:style>
  <w:style w:type="paragraph" w:customStyle="1" w:styleId="55">
    <w:name w:val="xl82"/>
    <w:basedOn w:val="1"/>
    <w:qFormat/>
    <w:uiPriority w:val="0"/>
    <w:pPr>
      <w:widowControl/>
      <w:pBdr>
        <w:left w:val="single" w:color="auto" w:sz="8" w:space="0"/>
        <w:bottom w:val="single" w:color="auto" w:sz="8" w:space="0"/>
        <w:right w:val="single" w:color="auto" w:sz="8" w:space="0"/>
      </w:pBdr>
      <w:spacing w:before="100" w:beforeAutospacing="1" w:after="100" w:afterAutospacing="1"/>
      <w:jc w:val="left"/>
    </w:pPr>
    <w:rPr>
      <w:rFonts w:ascii="宋体" w:hAnsi="宋体" w:eastAsia="宋体" w:cs="宋体"/>
      <w:kern w:val="0"/>
      <w:sz w:val="24"/>
      <w:szCs w:val="24"/>
    </w:rPr>
  </w:style>
  <w:style w:type="paragraph" w:customStyle="1" w:styleId="56">
    <w:name w:val="xl83"/>
    <w:basedOn w:val="1"/>
    <w:qFormat/>
    <w:uiPriority w:val="0"/>
    <w:pPr>
      <w:widowControl/>
      <w:pBdr>
        <w:top w:val="single" w:color="auto" w:sz="8" w:space="0"/>
        <w:left w:val="single" w:color="auto" w:sz="8" w:space="0"/>
      </w:pBdr>
      <w:spacing w:before="100" w:beforeAutospacing="1" w:after="100" w:afterAutospacing="1"/>
      <w:jc w:val="center"/>
    </w:pPr>
    <w:rPr>
      <w:rFonts w:ascii="宋体" w:hAnsi="宋体" w:eastAsia="宋体" w:cs="宋体"/>
      <w:kern w:val="0"/>
      <w:sz w:val="24"/>
      <w:szCs w:val="24"/>
    </w:rPr>
  </w:style>
  <w:style w:type="paragraph" w:customStyle="1" w:styleId="57">
    <w:name w:val="xl84"/>
    <w:basedOn w:val="1"/>
    <w:qFormat/>
    <w:uiPriority w:val="0"/>
    <w:pPr>
      <w:widowControl/>
      <w:pBdr>
        <w:left w:val="single" w:color="auto" w:sz="8" w:space="0"/>
      </w:pBdr>
      <w:spacing w:before="100" w:beforeAutospacing="1" w:after="100" w:afterAutospacing="1"/>
      <w:jc w:val="center"/>
    </w:pPr>
    <w:rPr>
      <w:rFonts w:ascii="宋体" w:hAnsi="宋体" w:eastAsia="宋体" w:cs="宋体"/>
      <w:kern w:val="0"/>
      <w:sz w:val="24"/>
      <w:szCs w:val="24"/>
    </w:rPr>
  </w:style>
  <w:style w:type="paragraph" w:customStyle="1" w:styleId="58">
    <w:name w:val="xl85"/>
    <w:basedOn w:val="1"/>
    <w:qFormat/>
    <w:uiPriority w:val="0"/>
    <w:pPr>
      <w:widowControl/>
      <w:pBdr>
        <w:top w:val="single" w:color="auto" w:sz="8" w:space="0"/>
        <w:right w:val="single" w:color="auto" w:sz="8" w:space="0"/>
      </w:pBdr>
      <w:spacing w:before="100" w:beforeAutospacing="1" w:after="100" w:afterAutospacing="1"/>
      <w:jc w:val="center"/>
    </w:pPr>
    <w:rPr>
      <w:rFonts w:ascii="宋体" w:hAnsi="宋体" w:eastAsia="宋体" w:cs="宋体"/>
      <w:kern w:val="0"/>
      <w:sz w:val="24"/>
      <w:szCs w:val="24"/>
    </w:rPr>
  </w:style>
  <w:style w:type="paragraph" w:customStyle="1" w:styleId="59">
    <w:name w:val="xl86"/>
    <w:basedOn w:val="1"/>
    <w:qFormat/>
    <w:uiPriority w:val="0"/>
    <w:pPr>
      <w:widowControl/>
      <w:pBdr>
        <w:top w:val="single" w:color="auto" w:sz="8" w:space="0"/>
      </w:pBdr>
      <w:spacing w:before="100" w:beforeAutospacing="1" w:after="100" w:afterAutospacing="1"/>
      <w:jc w:val="center"/>
    </w:pPr>
    <w:rPr>
      <w:rFonts w:ascii="宋体" w:hAnsi="宋体" w:eastAsia="宋体" w:cs="宋体"/>
      <w:kern w:val="0"/>
      <w:sz w:val="24"/>
      <w:szCs w:val="24"/>
    </w:rPr>
  </w:style>
  <w:style w:type="paragraph" w:customStyle="1" w:styleId="60">
    <w:name w:val="xl87"/>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pPr>
    <w:rPr>
      <w:rFonts w:ascii="宋体" w:hAnsi="宋体" w:eastAsia="宋体" w:cs="宋体"/>
      <w:kern w:val="0"/>
      <w:sz w:val="24"/>
      <w:szCs w:val="24"/>
    </w:rPr>
  </w:style>
  <w:style w:type="paragraph" w:customStyle="1" w:styleId="61">
    <w:name w:val="xl88"/>
    <w:basedOn w:val="1"/>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pPr>
    <w:rPr>
      <w:rFonts w:ascii="宋体" w:hAnsi="宋体" w:eastAsia="宋体" w:cs="宋体"/>
      <w:kern w:val="0"/>
      <w:sz w:val="24"/>
      <w:szCs w:val="24"/>
    </w:rPr>
  </w:style>
  <w:style w:type="paragraph" w:customStyle="1" w:styleId="62">
    <w:name w:val="xl89"/>
    <w:basedOn w:val="1"/>
    <w:qFormat/>
    <w:uiPriority w:val="0"/>
    <w:pPr>
      <w:widowControl/>
      <w:spacing w:before="100" w:beforeAutospacing="1" w:after="100" w:afterAutospacing="1"/>
      <w:jc w:val="center"/>
    </w:pPr>
    <w:rPr>
      <w:rFonts w:ascii="宋体" w:hAnsi="宋体" w:eastAsia="宋体" w:cs="宋体"/>
      <w:kern w:val="0"/>
      <w:sz w:val="24"/>
      <w:szCs w:val="24"/>
    </w:rPr>
  </w:style>
  <w:style w:type="character" w:customStyle="1" w:styleId="63">
    <w:name w:val="批注框文本 字符"/>
    <w:basedOn w:val="15"/>
    <w:link w:val="7"/>
    <w:semiHidden/>
    <w:qFormat/>
    <w:uiPriority w:val="99"/>
    <w:rPr>
      <w:sz w:val="18"/>
      <w:szCs w:val="18"/>
    </w:rPr>
  </w:style>
  <w:style w:type="character" w:customStyle="1" w:styleId="64">
    <w:name w:val="font21"/>
    <w:basedOn w:val="15"/>
    <w:qFormat/>
    <w:uiPriority w:val="0"/>
    <w:rPr>
      <w:rFonts w:hint="eastAsia" w:ascii="宋体" w:hAnsi="宋体" w:eastAsia="宋体" w:cs="宋体"/>
      <w:color w:val="000000"/>
      <w:sz w:val="24"/>
      <w:szCs w:val="24"/>
      <w:u w:val="none"/>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1224</Words>
  <Characters>6981</Characters>
  <Lines>58</Lines>
  <Paragraphs>16</Paragraphs>
  <TotalTime>2</TotalTime>
  <ScaleCrop>false</ScaleCrop>
  <LinksUpToDate>false</LinksUpToDate>
  <CharactersWithSpaces>8189</CharactersWithSpaces>
  <Application>WPS Office_11.8.6.10973_F1E327BC-269C-435d-A152-05C5408002CA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2024-12-20T09:42:00Z</dcterms:created>
  <dc:creator>陈佳敏</dc:creator>
  <cp:lastModifiedBy>陈旭斌</cp:lastModifiedBy>
  <cp:lastPrinted>2024-12-23T05:50:00Z</cp:lastPrinted>
  <dcterms:modified xsi:type="dcterms:W3CDTF">2024-12-23T11:05:59Z</dcterms:modified>
  <cp:revision>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2052-11.8.6.10973</vt:lpwstr>
  </property>
  <property fmtid="{D5CDD505-2E9C-101B-9397-08002B2CF9AE}" pid="3" name="ICV">
    <vt:lpwstr>3538B2C2CF904D899C94CF9F475B1BC8</vt:lpwstr>
  </property>
</Properties>
</file>