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D71342" w:rsidRDefault="00D71342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</w:t>
      </w:r>
    </w:p>
    <w:p w:rsidR="00D71342" w:rsidRDefault="00D71342">
      <w:pPr>
        <w:spacing w:line="360" w:lineRule="auto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</w:p>
    <w:p w:rsidR="00D71342" w:rsidRDefault="00D71342">
      <w:pPr>
        <w:pStyle w:val="New"/>
        <w:spacing w:line="360" w:lineRule="auto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C87F2C" w:rsidRDefault="00C87F2C">
      <w:pPr>
        <w:pStyle w:val="New"/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区政法信访办公室2</w:t>
      </w:r>
      <w:r>
        <w:rPr>
          <w:rFonts w:ascii="方正小标宋简体" w:eastAsia="方正小标宋简体"/>
          <w:sz w:val="44"/>
          <w:szCs w:val="44"/>
        </w:rPr>
        <w:t>024</w:t>
      </w:r>
      <w:r>
        <w:rPr>
          <w:rFonts w:ascii="方正小标宋简体" w:eastAsia="方正小标宋简体" w:hint="eastAsia"/>
          <w:sz w:val="44"/>
          <w:szCs w:val="44"/>
        </w:rPr>
        <w:t>年</w:t>
      </w:r>
    </w:p>
    <w:p w:rsidR="00D71342" w:rsidRDefault="00D71342">
      <w:pPr>
        <w:pStyle w:val="New"/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int="eastAsia"/>
          <w:sz w:val="44"/>
          <w:szCs w:val="44"/>
        </w:rPr>
        <w:t>部门整体支出绩效自评报告</w:t>
      </w:r>
    </w:p>
    <w:p w:rsidR="00D71342" w:rsidRDefault="00D71342">
      <w:pPr>
        <w:pStyle w:val="New"/>
        <w:spacing w:line="360" w:lineRule="auto"/>
        <w:rPr>
          <w:rFonts w:ascii="仿宋_GB2312" w:eastAsia="仿宋_GB2312"/>
          <w:sz w:val="30"/>
          <w:szCs w:val="30"/>
        </w:rPr>
      </w:pPr>
    </w:p>
    <w:p w:rsidR="00C6557C" w:rsidRPr="00C6557C" w:rsidRDefault="00C6557C">
      <w:pPr>
        <w:pStyle w:val="New"/>
        <w:spacing w:line="360" w:lineRule="auto"/>
        <w:rPr>
          <w:rFonts w:ascii="仿宋_GB2312" w:eastAsia="仿宋_GB2312"/>
          <w:sz w:val="30"/>
          <w:szCs w:val="30"/>
        </w:rPr>
      </w:pPr>
    </w:p>
    <w:p w:rsidR="00D71342" w:rsidRDefault="00D71342">
      <w:pPr>
        <w:pStyle w:val="New"/>
        <w:spacing w:line="360" w:lineRule="auto"/>
        <w:rPr>
          <w:rFonts w:ascii="仿宋_GB2312" w:eastAsia="仿宋_GB2312"/>
          <w:sz w:val="32"/>
          <w:szCs w:val="32"/>
        </w:rPr>
      </w:pPr>
    </w:p>
    <w:p w:rsidR="00D71342" w:rsidRDefault="00D71342">
      <w:pPr>
        <w:pStyle w:val="New"/>
        <w:spacing w:line="360" w:lineRule="auto"/>
        <w:rPr>
          <w:rFonts w:ascii="仿宋_GB2312" w:eastAsia="仿宋_GB2312"/>
          <w:sz w:val="32"/>
          <w:szCs w:val="32"/>
        </w:rPr>
      </w:pPr>
    </w:p>
    <w:p w:rsidR="00D71342" w:rsidRDefault="00D71342">
      <w:pPr>
        <w:pStyle w:val="New"/>
        <w:spacing w:line="360" w:lineRule="auto"/>
        <w:rPr>
          <w:rFonts w:ascii="仿宋_GB2312" w:eastAsia="仿宋_GB2312"/>
          <w:sz w:val="32"/>
          <w:szCs w:val="32"/>
        </w:rPr>
      </w:pPr>
    </w:p>
    <w:p w:rsidR="00D71342" w:rsidRDefault="00D71342">
      <w:pPr>
        <w:pStyle w:val="New"/>
        <w:spacing w:line="360" w:lineRule="auto"/>
        <w:rPr>
          <w:rFonts w:ascii="仿宋_GB2312" w:eastAsia="仿宋_GB2312"/>
          <w:sz w:val="32"/>
          <w:szCs w:val="32"/>
        </w:rPr>
      </w:pPr>
    </w:p>
    <w:p w:rsidR="00D71342" w:rsidRDefault="00D71342">
      <w:pPr>
        <w:pStyle w:val="New"/>
        <w:spacing w:line="360" w:lineRule="auto"/>
        <w:rPr>
          <w:rFonts w:ascii="仿宋_GB2312" w:eastAsia="仿宋_GB2312"/>
          <w:sz w:val="32"/>
          <w:szCs w:val="32"/>
        </w:rPr>
      </w:pPr>
    </w:p>
    <w:p w:rsidR="00D71342" w:rsidRDefault="00D71342">
      <w:pPr>
        <w:pStyle w:val="New"/>
        <w:spacing w:line="360" w:lineRule="auto"/>
        <w:rPr>
          <w:rFonts w:ascii="仿宋_GB2312" w:eastAsia="仿宋_GB2312"/>
          <w:sz w:val="32"/>
          <w:szCs w:val="32"/>
        </w:rPr>
      </w:pPr>
    </w:p>
    <w:p w:rsidR="00D71342" w:rsidRDefault="00D71342">
      <w:pPr>
        <w:pStyle w:val="New"/>
        <w:spacing w:line="360" w:lineRule="auto"/>
        <w:rPr>
          <w:rFonts w:ascii="仿宋_GB2312" w:eastAsia="仿宋_GB2312"/>
          <w:sz w:val="32"/>
          <w:szCs w:val="32"/>
        </w:rPr>
      </w:pPr>
    </w:p>
    <w:p w:rsidR="00D71342" w:rsidRDefault="00D71342">
      <w:pPr>
        <w:pStyle w:val="New"/>
        <w:spacing w:line="360" w:lineRule="auto"/>
        <w:rPr>
          <w:rFonts w:ascii="仿宋_GB2312" w:eastAsia="仿宋_GB2312"/>
          <w:sz w:val="32"/>
          <w:szCs w:val="32"/>
        </w:rPr>
      </w:pPr>
    </w:p>
    <w:p w:rsidR="00D71342" w:rsidRDefault="00D71342">
      <w:pPr>
        <w:pStyle w:val="New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部门名称：（公章）</w:t>
      </w:r>
    </w:p>
    <w:p w:rsidR="00D71342" w:rsidRDefault="00D71342">
      <w:pPr>
        <w:pStyle w:val="New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填报人：</w:t>
      </w:r>
      <w:r w:rsidR="005229DE">
        <w:rPr>
          <w:rFonts w:ascii="仿宋_GB2312" w:eastAsia="仿宋_GB2312" w:hint="eastAsia"/>
          <w:sz w:val="32"/>
          <w:szCs w:val="32"/>
        </w:rPr>
        <w:t>林秋妮</w:t>
      </w:r>
    </w:p>
    <w:p w:rsidR="00D71342" w:rsidRDefault="00D71342">
      <w:pPr>
        <w:pStyle w:val="New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联系电话：</w:t>
      </w:r>
      <w:r w:rsidR="005229DE">
        <w:rPr>
          <w:rFonts w:ascii="仿宋_GB2312" w:eastAsia="仿宋_GB2312" w:hint="eastAsia"/>
          <w:sz w:val="32"/>
          <w:szCs w:val="32"/>
        </w:rPr>
        <w:t>5</w:t>
      </w:r>
      <w:r w:rsidR="005229DE">
        <w:rPr>
          <w:rFonts w:ascii="仿宋_GB2312" w:eastAsia="仿宋_GB2312"/>
          <w:sz w:val="32"/>
          <w:szCs w:val="32"/>
        </w:rPr>
        <w:t>562597</w:t>
      </w:r>
    </w:p>
    <w:p w:rsidR="00D71342" w:rsidRDefault="00D71342">
      <w:pPr>
        <w:pStyle w:val="New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填报日期：</w:t>
      </w:r>
      <w:r w:rsidR="005229DE">
        <w:rPr>
          <w:rFonts w:ascii="仿宋_GB2312" w:eastAsia="仿宋_GB2312" w:hint="eastAsia"/>
          <w:sz w:val="32"/>
          <w:szCs w:val="32"/>
        </w:rPr>
        <w:t>2</w:t>
      </w:r>
      <w:r w:rsidR="00626573">
        <w:rPr>
          <w:rFonts w:ascii="仿宋_GB2312" w:eastAsia="仿宋_GB2312"/>
          <w:sz w:val="32"/>
          <w:szCs w:val="32"/>
        </w:rPr>
        <w:t>025</w:t>
      </w:r>
      <w:r w:rsidR="005229DE">
        <w:rPr>
          <w:rFonts w:ascii="仿宋_GB2312" w:eastAsia="仿宋_GB2312" w:hint="eastAsia"/>
          <w:sz w:val="32"/>
          <w:szCs w:val="32"/>
        </w:rPr>
        <w:t>年7月</w:t>
      </w:r>
      <w:r w:rsidR="00626573">
        <w:rPr>
          <w:rFonts w:ascii="仿宋_GB2312" w:eastAsia="仿宋_GB2312"/>
          <w:sz w:val="32"/>
          <w:szCs w:val="32"/>
        </w:rPr>
        <w:t>30</w:t>
      </w:r>
      <w:r w:rsidR="005229DE">
        <w:rPr>
          <w:rFonts w:ascii="仿宋_GB2312" w:eastAsia="仿宋_GB2312" w:hint="eastAsia"/>
          <w:sz w:val="32"/>
          <w:szCs w:val="32"/>
        </w:rPr>
        <w:t>日</w:t>
      </w:r>
    </w:p>
    <w:p w:rsidR="00D71342" w:rsidRDefault="00D71342">
      <w:pPr>
        <w:pStyle w:val="New"/>
        <w:spacing w:line="360" w:lineRule="auto"/>
        <w:rPr>
          <w:rFonts w:ascii="黑体" w:eastAsia="黑体" w:hAnsi="黑体" w:cs="黑体"/>
          <w:bCs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ascii="仿宋_GB2312" w:eastAsia="仿宋_GB2312" w:hint="eastAsia"/>
          <w:sz w:val="32"/>
          <w:szCs w:val="32"/>
        </w:rPr>
        <w:lastRenderedPageBreak/>
        <w:t xml:space="preserve">    </w:t>
      </w:r>
      <w:r>
        <w:rPr>
          <w:rFonts w:ascii="黑体" w:eastAsia="黑体" w:hAnsi="黑体" w:cs="黑体" w:hint="eastAsia"/>
          <w:bCs/>
          <w:sz w:val="32"/>
          <w:szCs w:val="32"/>
        </w:rPr>
        <w:t>一、部门基本情况</w:t>
      </w:r>
    </w:p>
    <w:p w:rsidR="00D71342" w:rsidRDefault="00D71342">
      <w:pPr>
        <w:pStyle w:val="New"/>
        <w:snapToGrid w:val="0"/>
        <w:spacing w:line="360" w:lineRule="auto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Adobe 楷体 Std R" w:hint="eastAsia"/>
          <w:color w:val="000000"/>
          <w:sz w:val="32"/>
          <w:szCs w:val="32"/>
        </w:rPr>
        <w:t>（一）部门职能。</w:t>
      </w:r>
    </w:p>
    <w:p w:rsidR="00C6557C" w:rsidRDefault="00E44216" w:rsidP="00E44216">
      <w:pPr>
        <w:pStyle w:val="New"/>
        <w:snapToGrid w:val="0"/>
        <w:spacing w:line="360" w:lineRule="auto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 w:rsidRPr="00E44216">
        <w:rPr>
          <w:rFonts w:ascii="仿宋_GB2312" w:eastAsia="仿宋_GB2312" w:hAnsi="Adobe 楷体 Std R" w:hint="eastAsia"/>
          <w:color w:val="000000"/>
          <w:sz w:val="32"/>
          <w:szCs w:val="32"/>
        </w:rPr>
        <w:t>负责统筹全区综治、信访、维稳、法治建设、社会工作、执法监督、司法、人民武装、网格治理等工作，同时协调政法各部门相关工作。</w:t>
      </w:r>
    </w:p>
    <w:p w:rsidR="00D71342" w:rsidRDefault="00D71342">
      <w:pPr>
        <w:pStyle w:val="New"/>
        <w:snapToGrid w:val="0"/>
        <w:spacing w:line="360" w:lineRule="auto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Adobe 楷体 Std R" w:hint="eastAsia"/>
          <w:color w:val="000000"/>
          <w:sz w:val="32"/>
          <w:szCs w:val="32"/>
        </w:rPr>
        <w:t>（二）年度总体工作和重点工作任务。</w:t>
      </w:r>
    </w:p>
    <w:p w:rsidR="009D6DF0" w:rsidRDefault="001158F6" w:rsidP="009D6DF0">
      <w:pPr>
        <w:pStyle w:val="New"/>
        <w:snapToGrid w:val="0"/>
        <w:spacing w:line="360" w:lineRule="auto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 w:rsidRPr="001158F6">
        <w:rPr>
          <w:rFonts w:ascii="仿宋_GB2312" w:eastAsia="仿宋_GB2312" w:hAnsi="Adobe 楷体 Std R" w:hint="eastAsia"/>
          <w:color w:val="000000"/>
          <w:sz w:val="32"/>
          <w:szCs w:val="32"/>
        </w:rPr>
        <w:t>在总揽全局、协调各方上持续发力，始终加强党对政法工作的绝对领导，强化理论武装，强化政治引领，强化考核督导；在联动融合、实战实用上持续发力，有效维护社会大局和谐稳定，强化维护社会稳定举措，强化信访问题实质化解，强化基层人民武装工作；在联动集成、运行有序上持续发力，有效提升群众安全感和政法工作满意度</w:t>
      </w:r>
      <w:r w:rsidR="00E23563">
        <w:rPr>
          <w:rFonts w:ascii="仿宋_GB2312" w:eastAsia="仿宋_GB2312" w:hAnsi="Adobe 楷体 Std R" w:hint="eastAsia"/>
          <w:color w:val="000000"/>
          <w:sz w:val="32"/>
          <w:szCs w:val="32"/>
        </w:rPr>
        <w:t>；</w:t>
      </w:r>
      <w:r w:rsidRPr="001158F6">
        <w:rPr>
          <w:rFonts w:ascii="仿宋_GB2312" w:eastAsia="仿宋_GB2312" w:hAnsi="Adobe 楷体 Std R" w:hint="eastAsia"/>
          <w:color w:val="000000"/>
          <w:sz w:val="32"/>
          <w:szCs w:val="32"/>
        </w:rPr>
        <w:t>抓系统集成，</w:t>
      </w:r>
      <w:proofErr w:type="gramStart"/>
      <w:r w:rsidRPr="001158F6">
        <w:rPr>
          <w:rFonts w:ascii="仿宋_GB2312" w:eastAsia="仿宋_GB2312" w:hAnsi="Adobe 楷体 Std R" w:hint="eastAsia"/>
          <w:color w:val="000000"/>
          <w:sz w:val="32"/>
          <w:szCs w:val="32"/>
        </w:rPr>
        <w:t>聚治理</w:t>
      </w:r>
      <w:proofErr w:type="gramEnd"/>
      <w:r w:rsidRPr="001158F6">
        <w:rPr>
          <w:rFonts w:ascii="仿宋_GB2312" w:eastAsia="仿宋_GB2312" w:hAnsi="Adobe 楷体 Std R" w:hint="eastAsia"/>
          <w:color w:val="000000"/>
          <w:sz w:val="32"/>
          <w:szCs w:val="32"/>
        </w:rPr>
        <w:t>资源，抓基层基础，</w:t>
      </w:r>
      <w:proofErr w:type="gramStart"/>
      <w:r w:rsidRPr="001158F6">
        <w:rPr>
          <w:rFonts w:ascii="仿宋_GB2312" w:eastAsia="仿宋_GB2312" w:hAnsi="Adobe 楷体 Std R" w:hint="eastAsia"/>
          <w:color w:val="000000"/>
          <w:sz w:val="32"/>
          <w:szCs w:val="32"/>
        </w:rPr>
        <w:t>提服务</w:t>
      </w:r>
      <w:proofErr w:type="gramEnd"/>
      <w:r w:rsidRPr="001158F6">
        <w:rPr>
          <w:rFonts w:ascii="仿宋_GB2312" w:eastAsia="仿宋_GB2312" w:hAnsi="Adobe 楷体 Std R" w:hint="eastAsia"/>
          <w:color w:val="000000"/>
          <w:sz w:val="32"/>
          <w:szCs w:val="32"/>
        </w:rPr>
        <w:t>效能，抓打防结合，</w:t>
      </w:r>
      <w:proofErr w:type="gramStart"/>
      <w:r w:rsidRPr="001158F6">
        <w:rPr>
          <w:rFonts w:ascii="仿宋_GB2312" w:eastAsia="仿宋_GB2312" w:hAnsi="Adobe 楷体 Std R" w:hint="eastAsia"/>
          <w:color w:val="000000"/>
          <w:sz w:val="32"/>
          <w:szCs w:val="32"/>
        </w:rPr>
        <w:t>筑安全</w:t>
      </w:r>
      <w:proofErr w:type="gramEnd"/>
      <w:r w:rsidRPr="001158F6">
        <w:rPr>
          <w:rFonts w:ascii="仿宋_GB2312" w:eastAsia="仿宋_GB2312" w:hAnsi="Adobe 楷体 Std R" w:hint="eastAsia"/>
          <w:color w:val="000000"/>
          <w:sz w:val="32"/>
          <w:szCs w:val="32"/>
        </w:rPr>
        <w:t>屏障，抓创新宣传，强政法矩阵；在法治保障、精准高效持续发力，为全面推动高质量发展保驾护航，紧扣“有力”，</w:t>
      </w:r>
      <w:proofErr w:type="gramStart"/>
      <w:r w:rsidRPr="001158F6">
        <w:rPr>
          <w:rFonts w:ascii="仿宋_GB2312" w:eastAsia="仿宋_GB2312" w:hAnsi="Adobe 楷体 Std R" w:hint="eastAsia"/>
          <w:color w:val="000000"/>
          <w:sz w:val="32"/>
          <w:szCs w:val="32"/>
        </w:rPr>
        <w:t>做优法</w:t>
      </w:r>
      <w:r>
        <w:rPr>
          <w:rFonts w:ascii="仿宋_GB2312" w:eastAsia="仿宋_GB2312" w:hAnsi="Adobe 楷体 Std R" w:hint="eastAsia"/>
          <w:color w:val="000000"/>
          <w:sz w:val="32"/>
          <w:szCs w:val="32"/>
        </w:rPr>
        <w:t>制</w:t>
      </w:r>
      <w:proofErr w:type="gramEnd"/>
      <w:r>
        <w:rPr>
          <w:rFonts w:ascii="仿宋_GB2312" w:eastAsia="仿宋_GB2312" w:hAnsi="Adobe 楷体 Std R" w:hint="eastAsia"/>
          <w:color w:val="000000"/>
          <w:sz w:val="32"/>
          <w:szCs w:val="32"/>
        </w:rPr>
        <w:t>供给，紧扣“严密”，做强法治监督，紧扣“高效”，做好法律服务</w:t>
      </w:r>
      <w:r w:rsidR="009D6DF0" w:rsidRPr="009D6DF0">
        <w:rPr>
          <w:rFonts w:ascii="仿宋_GB2312" w:eastAsia="仿宋_GB2312" w:hAnsi="Adobe 楷体 Std R" w:hint="eastAsia"/>
          <w:color w:val="000000"/>
          <w:sz w:val="32"/>
          <w:szCs w:val="32"/>
        </w:rPr>
        <w:t>。</w:t>
      </w:r>
    </w:p>
    <w:p w:rsidR="00D71342" w:rsidRDefault="00D71342">
      <w:pPr>
        <w:pStyle w:val="New"/>
        <w:snapToGrid w:val="0"/>
        <w:spacing w:line="360" w:lineRule="auto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Adobe 楷体 Std R" w:hint="eastAsia"/>
          <w:color w:val="000000"/>
          <w:sz w:val="32"/>
          <w:szCs w:val="32"/>
        </w:rPr>
        <w:t>（三）部门整体支出绩效目标。</w:t>
      </w:r>
    </w:p>
    <w:p w:rsidR="0051155C" w:rsidRPr="0051155C" w:rsidRDefault="001158F6">
      <w:pPr>
        <w:pStyle w:val="New"/>
        <w:snapToGrid w:val="0"/>
        <w:spacing w:line="360" w:lineRule="auto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 w:rsidRPr="001158F6">
        <w:rPr>
          <w:rFonts w:ascii="仿宋_GB2312" w:eastAsia="仿宋_GB2312" w:hAnsi="Adobe 楷体 Std R" w:hint="eastAsia"/>
          <w:color w:val="000000"/>
          <w:sz w:val="32"/>
          <w:szCs w:val="32"/>
        </w:rPr>
        <w:t>在区党工委、管委会</w:t>
      </w:r>
      <w:r w:rsidR="00E23563">
        <w:rPr>
          <w:rFonts w:ascii="仿宋_GB2312" w:eastAsia="仿宋_GB2312" w:hAnsi="Adobe 楷体 Std R" w:hint="eastAsia"/>
          <w:color w:val="000000"/>
          <w:sz w:val="32"/>
          <w:szCs w:val="32"/>
        </w:rPr>
        <w:t>正确</w:t>
      </w:r>
      <w:r w:rsidRPr="001158F6">
        <w:rPr>
          <w:rFonts w:ascii="仿宋_GB2312" w:eastAsia="仿宋_GB2312" w:hAnsi="Adobe 楷体 Std R" w:hint="eastAsia"/>
          <w:color w:val="000000"/>
          <w:sz w:val="32"/>
          <w:szCs w:val="32"/>
        </w:rPr>
        <w:t>领导和市上级对口部门引领下，坚持以习近平新时代中国特色社会主义思想为指导，紧紧围绕区党工委、管委会中心工作，总体围绕“防风险、保安全、护稳定、促发展”主线，以营造最安全稳定的社会环境为目标，深入推进</w:t>
      </w:r>
      <w:r w:rsidRPr="001158F6">
        <w:rPr>
          <w:rFonts w:ascii="仿宋_GB2312" w:eastAsia="仿宋_GB2312" w:hAnsi="Adobe 楷体 Std R" w:hint="eastAsia"/>
          <w:color w:val="000000"/>
          <w:sz w:val="32"/>
          <w:szCs w:val="32"/>
        </w:rPr>
        <w:lastRenderedPageBreak/>
        <w:t>平安</w:t>
      </w:r>
      <w:r>
        <w:rPr>
          <w:rFonts w:ascii="仿宋_GB2312" w:eastAsia="仿宋_GB2312" w:hAnsi="Adobe 楷体 Std R" w:hint="eastAsia"/>
          <w:color w:val="000000"/>
          <w:sz w:val="32"/>
          <w:szCs w:val="32"/>
        </w:rPr>
        <w:t>建设、法治建设、社会建设、队伍建设，为保障大亚湾高质量发展服务</w:t>
      </w:r>
      <w:r w:rsidR="0051155C" w:rsidRPr="0051155C">
        <w:rPr>
          <w:rFonts w:ascii="仿宋_GB2312" w:eastAsia="仿宋_GB2312" w:hAnsi="Adobe 楷体 Std R"/>
          <w:color w:val="000000"/>
          <w:sz w:val="32"/>
          <w:szCs w:val="32"/>
        </w:rPr>
        <w:t>。</w:t>
      </w:r>
    </w:p>
    <w:p w:rsidR="00D71342" w:rsidRDefault="00D71342">
      <w:pPr>
        <w:pStyle w:val="New"/>
        <w:snapToGrid w:val="0"/>
        <w:spacing w:line="360" w:lineRule="auto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二、绩效自评</w:t>
      </w:r>
    </w:p>
    <w:p w:rsidR="00D71342" w:rsidRDefault="00D71342" w:rsidP="004E14BA">
      <w:pPr>
        <w:pStyle w:val="New"/>
        <w:snapToGrid w:val="0"/>
        <w:spacing w:line="560" w:lineRule="exact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Adobe 楷体 Std R" w:hint="eastAsia"/>
          <w:color w:val="000000"/>
          <w:sz w:val="32"/>
          <w:szCs w:val="32"/>
        </w:rPr>
        <w:t>（一）自评结论</w:t>
      </w:r>
    </w:p>
    <w:p w:rsidR="00BD6822" w:rsidRDefault="00BD6822" w:rsidP="004E14BA">
      <w:pPr>
        <w:pStyle w:val="New"/>
        <w:snapToGrid w:val="0"/>
        <w:spacing w:line="560" w:lineRule="exact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 w:rsidRPr="004E14BA">
        <w:rPr>
          <w:rFonts w:ascii="仿宋_GB2312" w:eastAsia="仿宋_GB2312" w:hAnsi="Adobe 楷体 Std R" w:hint="eastAsia"/>
          <w:color w:val="000000"/>
          <w:sz w:val="32"/>
          <w:szCs w:val="32"/>
        </w:rPr>
        <w:t>根据《部门整体支出绩效自评表》指标说明及评分标准，区政法信访办自评得分为</w:t>
      </w:r>
      <w:r w:rsidR="001158F6">
        <w:rPr>
          <w:rFonts w:ascii="仿宋_GB2312" w:eastAsia="仿宋_GB2312" w:hAnsi="Adobe 楷体 Std R"/>
          <w:color w:val="000000"/>
          <w:sz w:val="32"/>
          <w:szCs w:val="32"/>
        </w:rPr>
        <w:t>97.2</w:t>
      </w:r>
      <w:r w:rsidRPr="004E14BA">
        <w:rPr>
          <w:rFonts w:ascii="仿宋_GB2312" w:eastAsia="仿宋_GB2312" w:hAnsi="Adobe 楷体 Std R" w:hint="eastAsia"/>
          <w:color w:val="000000"/>
          <w:sz w:val="32"/>
          <w:szCs w:val="32"/>
        </w:rPr>
        <w:t>分。</w:t>
      </w:r>
    </w:p>
    <w:p w:rsidR="00D71342" w:rsidRDefault="00D71342" w:rsidP="004E14BA">
      <w:pPr>
        <w:pStyle w:val="New"/>
        <w:snapToGrid w:val="0"/>
        <w:spacing w:line="560" w:lineRule="exact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Adobe 楷体 Std R" w:hint="eastAsia"/>
          <w:color w:val="000000"/>
          <w:sz w:val="32"/>
          <w:szCs w:val="32"/>
        </w:rPr>
        <w:t>（二）部门整体支出绩效指标分析</w:t>
      </w:r>
    </w:p>
    <w:p w:rsidR="00D71342" w:rsidRDefault="00D71342" w:rsidP="004E14BA">
      <w:pPr>
        <w:pStyle w:val="New"/>
        <w:snapToGrid w:val="0"/>
        <w:spacing w:line="560" w:lineRule="exact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Adobe 楷体 Std R" w:hint="eastAsia"/>
          <w:color w:val="000000"/>
          <w:sz w:val="32"/>
          <w:szCs w:val="32"/>
        </w:rPr>
        <w:t>1.预算编制情况。</w:t>
      </w:r>
    </w:p>
    <w:p w:rsidR="004E14BA" w:rsidRPr="004E14BA" w:rsidRDefault="00451BFF" w:rsidP="00BA28A8">
      <w:pPr>
        <w:widowControl/>
        <w:spacing w:line="560" w:lineRule="exact"/>
        <w:ind w:firstLine="630"/>
        <w:jc w:val="left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Adobe 楷体 Std R"/>
          <w:color w:val="000000"/>
          <w:sz w:val="32"/>
          <w:szCs w:val="32"/>
        </w:rPr>
        <w:t>2024年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本部门收入预算</w:t>
      </w:r>
      <w:r w:rsidR="00BA28A8">
        <w:rPr>
          <w:rFonts w:ascii="仿宋_GB2312" w:eastAsia="仿宋_GB2312" w:hAnsi="Adobe 楷体 Std R"/>
          <w:color w:val="000000"/>
          <w:sz w:val="32"/>
          <w:szCs w:val="32"/>
        </w:rPr>
        <w:t>6852.25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万元，比上年</w:t>
      </w:r>
      <w:r w:rsidR="004E14BA" w:rsidRPr="004E14BA">
        <w:rPr>
          <w:rFonts w:ascii="仿宋_GB2312" w:eastAsia="仿宋_GB2312" w:hAnsi="Adobe 楷体 Std R" w:hint="eastAsia"/>
          <w:color w:val="000000"/>
          <w:sz w:val="32"/>
          <w:szCs w:val="32"/>
        </w:rPr>
        <w:t>增加</w:t>
      </w:r>
      <w:r w:rsidR="00BA28A8">
        <w:rPr>
          <w:rFonts w:ascii="仿宋_GB2312" w:eastAsia="仿宋_GB2312" w:hAnsi="Adobe 楷体 Std R"/>
          <w:color w:val="000000"/>
          <w:sz w:val="32"/>
          <w:szCs w:val="32"/>
        </w:rPr>
        <w:t>1750.61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万元，</w:t>
      </w:r>
      <w:r w:rsidR="004E14BA" w:rsidRPr="004E14BA">
        <w:rPr>
          <w:rFonts w:ascii="仿宋_GB2312" w:eastAsia="仿宋_GB2312" w:hAnsi="Adobe 楷体 Std R" w:hint="eastAsia"/>
          <w:color w:val="000000"/>
          <w:sz w:val="32"/>
          <w:szCs w:val="32"/>
        </w:rPr>
        <w:t>增长</w:t>
      </w:r>
      <w:r w:rsidR="00BA28A8">
        <w:rPr>
          <w:rFonts w:ascii="仿宋_GB2312" w:eastAsia="仿宋_GB2312" w:hAnsi="Adobe 楷体 Std R"/>
          <w:color w:val="000000"/>
          <w:sz w:val="32"/>
          <w:szCs w:val="32"/>
        </w:rPr>
        <w:t>34.31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%，主要原因是</w:t>
      </w:r>
      <w:r w:rsidR="004E14BA" w:rsidRPr="004E14BA">
        <w:rPr>
          <w:rFonts w:ascii="仿宋_GB2312" w:eastAsia="仿宋_GB2312" w:hAnsi="Adobe 楷体 Std R" w:hint="eastAsia"/>
          <w:color w:val="000000"/>
          <w:sz w:val="32"/>
          <w:szCs w:val="32"/>
        </w:rPr>
        <w:t>机构规范调整，原区司法局、信访局、法制局并入，相应的</w:t>
      </w:r>
      <w:r w:rsidR="000905AE">
        <w:rPr>
          <w:rFonts w:ascii="仿宋_GB2312" w:eastAsia="仿宋_GB2312" w:hAnsi="Adobe 楷体 Std R" w:hint="eastAsia"/>
          <w:color w:val="000000"/>
          <w:sz w:val="32"/>
          <w:szCs w:val="32"/>
        </w:rPr>
        <w:t>公用经费、人员经费</w:t>
      </w:r>
      <w:r w:rsidR="004E14BA" w:rsidRPr="004E14BA">
        <w:rPr>
          <w:rFonts w:ascii="仿宋_GB2312" w:eastAsia="仿宋_GB2312" w:hAnsi="Adobe 楷体 Std R" w:hint="eastAsia"/>
          <w:color w:val="000000"/>
          <w:sz w:val="32"/>
          <w:szCs w:val="32"/>
        </w:rPr>
        <w:t>和项目</w:t>
      </w:r>
      <w:r w:rsidR="000905AE">
        <w:rPr>
          <w:rFonts w:ascii="仿宋_GB2312" w:eastAsia="仿宋_GB2312" w:hAnsi="Adobe 楷体 Std R" w:hint="eastAsia"/>
          <w:color w:val="000000"/>
          <w:sz w:val="32"/>
          <w:szCs w:val="32"/>
        </w:rPr>
        <w:t>经费</w:t>
      </w:r>
      <w:r w:rsidR="004E14BA" w:rsidRPr="004E14BA">
        <w:rPr>
          <w:rFonts w:ascii="仿宋_GB2312" w:eastAsia="仿宋_GB2312" w:hAnsi="Adobe 楷体 Std R" w:hint="eastAsia"/>
          <w:color w:val="000000"/>
          <w:sz w:val="32"/>
          <w:szCs w:val="32"/>
        </w:rPr>
        <w:t>预算增加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；支出预算5101.64万元，</w:t>
      </w:r>
      <w:r w:rsidR="004E14BA" w:rsidRPr="004E14BA">
        <w:rPr>
          <w:rFonts w:ascii="仿宋_GB2312" w:eastAsia="仿宋_GB2312" w:hAnsi="Adobe 楷体 Std R" w:hint="eastAsia"/>
          <w:color w:val="000000"/>
          <w:sz w:val="32"/>
          <w:szCs w:val="32"/>
        </w:rPr>
        <w:t>比上年增加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1234.72万元，增长31.93%，</w:t>
      </w:r>
      <w:r w:rsidR="004E14BA" w:rsidRPr="004E14BA">
        <w:rPr>
          <w:rFonts w:ascii="仿宋_GB2312" w:eastAsia="仿宋_GB2312" w:hAnsi="Adobe 楷体 Std R" w:hint="eastAsia"/>
          <w:color w:val="000000"/>
          <w:sz w:val="32"/>
          <w:szCs w:val="32"/>
        </w:rPr>
        <w:t>主要原因是</w:t>
      </w:r>
      <w:r w:rsidR="00BA28A8" w:rsidRPr="00BA28A8">
        <w:rPr>
          <w:rFonts w:ascii="仿宋_GB2312" w:eastAsia="仿宋_GB2312" w:hAnsi="Adobe 楷体 Std R" w:hint="eastAsia"/>
          <w:color w:val="000000"/>
          <w:sz w:val="32"/>
          <w:szCs w:val="32"/>
        </w:rPr>
        <w:t>机构规范调整，原区委政法委、原区司法局、原区信访局、原区法制局合并，整体</w:t>
      </w:r>
      <w:r w:rsidR="00E23563">
        <w:rPr>
          <w:rFonts w:ascii="仿宋_GB2312" w:eastAsia="仿宋_GB2312" w:hAnsi="Adobe 楷体 Std R" w:hint="eastAsia"/>
          <w:color w:val="000000"/>
          <w:sz w:val="32"/>
          <w:szCs w:val="32"/>
        </w:rPr>
        <w:t>支出</w:t>
      </w:r>
      <w:r w:rsidR="00BA28A8" w:rsidRPr="00BA28A8">
        <w:rPr>
          <w:rFonts w:ascii="仿宋_GB2312" w:eastAsia="仿宋_GB2312" w:hAnsi="Adobe 楷体 Std R" w:hint="eastAsia"/>
          <w:color w:val="000000"/>
          <w:sz w:val="32"/>
          <w:szCs w:val="32"/>
        </w:rPr>
        <w:t>预算经费增加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。</w:t>
      </w:r>
    </w:p>
    <w:p w:rsidR="00D71342" w:rsidRDefault="00D71342" w:rsidP="004E14BA">
      <w:pPr>
        <w:pStyle w:val="New"/>
        <w:snapToGrid w:val="0"/>
        <w:spacing w:line="560" w:lineRule="exact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Adobe 楷体 Std R" w:hint="eastAsia"/>
          <w:color w:val="000000"/>
          <w:sz w:val="32"/>
          <w:szCs w:val="32"/>
        </w:rPr>
        <w:t>2.预算执行情况。</w:t>
      </w:r>
    </w:p>
    <w:p w:rsidR="004E14BA" w:rsidRPr="004E14BA" w:rsidRDefault="00451BFF" w:rsidP="004E14BA">
      <w:pPr>
        <w:widowControl/>
        <w:spacing w:line="560" w:lineRule="exact"/>
        <w:ind w:firstLine="630"/>
        <w:jc w:val="left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Adobe 楷体 Std R"/>
          <w:color w:val="000000"/>
          <w:sz w:val="32"/>
          <w:szCs w:val="32"/>
        </w:rPr>
        <w:t>2024年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本部门总收入</w:t>
      </w:r>
      <w:r w:rsidR="00BA28A8">
        <w:rPr>
          <w:rFonts w:ascii="仿宋_GB2312" w:eastAsia="仿宋_GB2312" w:hAnsi="Adobe 楷体 Std R"/>
          <w:color w:val="000000"/>
          <w:sz w:val="32"/>
          <w:szCs w:val="32"/>
        </w:rPr>
        <w:t>5461.28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万元，其中本年收入</w:t>
      </w:r>
      <w:r w:rsidR="00BA28A8">
        <w:rPr>
          <w:rFonts w:ascii="仿宋_GB2312" w:eastAsia="仿宋_GB2312" w:hAnsi="Adobe 楷体 Std R"/>
          <w:color w:val="000000"/>
          <w:sz w:val="32"/>
          <w:szCs w:val="32"/>
        </w:rPr>
        <w:t>5440.44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万元。一般公共预算财政拨款收入</w:t>
      </w:r>
      <w:r w:rsidR="00BA28A8">
        <w:rPr>
          <w:rFonts w:ascii="仿宋_GB2312" w:eastAsia="仿宋_GB2312" w:hAnsi="Adobe 楷体 Std R"/>
          <w:color w:val="000000"/>
          <w:sz w:val="32"/>
          <w:szCs w:val="32"/>
        </w:rPr>
        <w:t>5397.96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万元，比上年决算数增加</w:t>
      </w:r>
      <w:r w:rsidR="00BA28A8">
        <w:rPr>
          <w:rFonts w:ascii="仿宋_GB2312" w:eastAsia="仿宋_GB2312" w:hAnsi="Adobe 楷体 Std R"/>
          <w:color w:val="000000"/>
          <w:sz w:val="32"/>
          <w:szCs w:val="32"/>
        </w:rPr>
        <w:t>430.35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万元，增长</w:t>
      </w:r>
      <w:r w:rsidR="00BA28A8">
        <w:rPr>
          <w:rFonts w:ascii="仿宋_GB2312" w:eastAsia="仿宋_GB2312" w:hAnsi="Adobe 楷体 Std R"/>
          <w:color w:val="000000"/>
          <w:sz w:val="32"/>
          <w:szCs w:val="32"/>
        </w:rPr>
        <w:t>8.6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%</w:t>
      </w:r>
      <w:r w:rsidR="002925F4">
        <w:rPr>
          <w:rFonts w:ascii="仿宋_GB2312" w:eastAsia="仿宋_GB2312" w:hAnsi="Adobe 楷体 Std R" w:hint="eastAsia"/>
          <w:color w:val="000000"/>
          <w:sz w:val="32"/>
          <w:szCs w:val="32"/>
        </w:rPr>
        <w:t>。</w:t>
      </w:r>
      <w:r w:rsidR="002925F4" w:rsidRPr="002925F4">
        <w:rPr>
          <w:rFonts w:ascii="仿宋_GB2312" w:eastAsia="仿宋_GB2312" w:hAnsi="Adobe 楷体 Std R" w:hint="eastAsia"/>
          <w:color w:val="000000"/>
          <w:sz w:val="32"/>
          <w:szCs w:val="32"/>
        </w:rPr>
        <w:t>主要原因为统计口径差异</w:t>
      </w:r>
      <w:r w:rsidR="002925F4">
        <w:rPr>
          <w:rFonts w:ascii="仿宋_GB2312" w:eastAsia="仿宋_GB2312" w:hAnsi="Adobe 楷体 Std R" w:hint="eastAsia"/>
          <w:color w:val="000000"/>
          <w:sz w:val="32"/>
          <w:szCs w:val="32"/>
        </w:rPr>
        <w:t>，</w:t>
      </w:r>
      <w:r w:rsidR="002925F4" w:rsidRPr="002925F4">
        <w:rPr>
          <w:rFonts w:ascii="仿宋_GB2312" w:eastAsia="仿宋_GB2312" w:hAnsi="Adobe 楷体 Std R" w:hint="eastAsia"/>
          <w:color w:val="000000"/>
          <w:sz w:val="32"/>
          <w:szCs w:val="32"/>
        </w:rPr>
        <w:t>2024年数据为机构规范调整后全年完整周期的实际支出</w:t>
      </w:r>
      <w:r w:rsidR="00E23563">
        <w:rPr>
          <w:rFonts w:ascii="仿宋_GB2312" w:eastAsia="仿宋_GB2312" w:hAnsi="Adobe 楷体 Std R" w:hint="eastAsia"/>
          <w:color w:val="000000"/>
          <w:sz w:val="32"/>
          <w:szCs w:val="32"/>
        </w:rPr>
        <w:t>，</w:t>
      </w:r>
      <w:r w:rsidR="002925F4" w:rsidRPr="002925F4">
        <w:rPr>
          <w:rFonts w:ascii="仿宋_GB2312" w:eastAsia="仿宋_GB2312" w:hAnsi="Adobe 楷体 Std R" w:hint="eastAsia"/>
          <w:color w:val="000000"/>
          <w:sz w:val="32"/>
          <w:szCs w:val="32"/>
        </w:rPr>
        <w:t>而2023年因机构规范调整工作于当年5月完成，同期统计数据仅涵盖调整后半年度的实际开支。</w:t>
      </w:r>
    </w:p>
    <w:p w:rsidR="00D71342" w:rsidRDefault="00451BFF" w:rsidP="004E14BA">
      <w:pPr>
        <w:pStyle w:val="New"/>
        <w:snapToGrid w:val="0"/>
        <w:spacing w:line="560" w:lineRule="exact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Adobe 楷体 Std R"/>
          <w:color w:val="000000"/>
          <w:sz w:val="32"/>
          <w:szCs w:val="32"/>
        </w:rPr>
        <w:t>2024年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本部门总支出</w:t>
      </w:r>
      <w:r w:rsidR="006A5E83">
        <w:rPr>
          <w:rFonts w:ascii="仿宋_GB2312" w:eastAsia="仿宋_GB2312" w:hAnsi="Adobe 楷体 Std R"/>
          <w:color w:val="000000"/>
          <w:sz w:val="32"/>
          <w:szCs w:val="32"/>
        </w:rPr>
        <w:t>5461.28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万元，其中本年支出</w:t>
      </w:r>
      <w:r w:rsidR="006A5E83">
        <w:rPr>
          <w:rFonts w:ascii="仿宋_GB2312" w:eastAsia="仿宋_GB2312" w:hAnsi="Adobe 楷体 Std R"/>
          <w:color w:val="000000"/>
          <w:sz w:val="32"/>
          <w:szCs w:val="32"/>
        </w:rPr>
        <w:t>5427.58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lastRenderedPageBreak/>
        <w:t>万元。基本支出</w:t>
      </w:r>
      <w:r w:rsidR="006A5E83">
        <w:rPr>
          <w:rFonts w:ascii="仿宋_GB2312" w:eastAsia="仿宋_GB2312" w:hAnsi="Adobe 楷体 Std R"/>
          <w:color w:val="000000"/>
          <w:sz w:val="32"/>
          <w:szCs w:val="32"/>
        </w:rPr>
        <w:t>3131.36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万元，比上年决算数增加</w:t>
      </w:r>
      <w:r w:rsidR="006A5E83">
        <w:rPr>
          <w:rFonts w:ascii="仿宋_GB2312" w:eastAsia="仿宋_GB2312" w:hAnsi="Adobe 楷体 Std R"/>
          <w:color w:val="000000"/>
          <w:sz w:val="32"/>
          <w:szCs w:val="32"/>
        </w:rPr>
        <w:t>353.62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万元，增长</w:t>
      </w:r>
      <w:r w:rsidR="006A5E83">
        <w:rPr>
          <w:rFonts w:ascii="仿宋_GB2312" w:eastAsia="仿宋_GB2312" w:hAnsi="Adobe 楷体 Std R"/>
          <w:color w:val="000000"/>
          <w:sz w:val="32"/>
          <w:szCs w:val="32"/>
        </w:rPr>
        <w:t>12.73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%，</w:t>
      </w:r>
      <w:r w:rsidR="006A5E83" w:rsidRPr="004E14BA">
        <w:rPr>
          <w:rFonts w:ascii="仿宋_GB2312" w:eastAsia="仿宋_GB2312" w:hAnsi="Adobe 楷体 Std R"/>
          <w:color w:val="000000"/>
          <w:sz w:val="32"/>
          <w:szCs w:val="32"/>
        </w:rPr>
        <w:t>项目支出</w:t>
      </w:r>
      <w:r w:rsidR="006A5E83">
        <w:rPr>
          <w:rFonts w:ascii="仿宋_GB2312" w:eastAsia="仿宋_GB2312" w:hAnsi="Adobe 楷体 Std R"/>
          <w:color w:val="000000"/>
          <w:sz w:val="32"/>
          <w:szCs w:val="32"/>
        </w:rPr>
        <w:t>2296.22</w:t>
      </w:r>
      <w:r w:rsidR="006A5E83" w:rsidRPr="004E14BA">
        <w:rPr>
          <w:rFonts w:ascii="仿宋_GB2312" w:eastAsia="仿宋_GB2312" w:hAnsi="Adobe 楷体 Std R"/>
          <w:color w:val="000000"/>
          <w:sz w:val="32"/>
          <w:szCs w:val="32"/>
        </w:rPr>
        <w:t>万元，比上年决算数</w:t>
      </w:r>
      <w:r w:rsidR="006A5E83" w:rsidRPr="004E14BA">
        <w:rPr>
          <w:rFonts w:ascii="仿宋_GB2312" w:eastAsia="仿宋_GB2312" w:hAnsi="Adobe 楷体 Std R" w:hint="eastAsia"/>
          <w:color w:val="000000"/>
          <w:sz w:val="32"/>
          <w:szCs w:val="32"/>
        </w:rPr>
        <w:t>增加</w:t>
      </w:r>
      <w:r w:rsidR="006A5E83">
        <w:rPr>
          <w:rFonts w:ascii="仿宋_GB2312" w:eastAsia="仿宋_GB2312" w:hAnsi="Adobe 楷体 Std R"/>
          <w:color w:val="000000"/>
          <w:sz w:val="32"/>
          <w:szCs w:val="32"/>
        </w:rPr>
        <w:t>126.45</w:t>
      </w:r>
      <w:r w:rsidR="006A5E83" w:rsidRPr="004E14BA">
        <w:rPr>
          <w:rFonts w:ascii="仿宋_GB2312" w:eastAsia="仿宋_GB2312" w:hAnsi="Adobe 楷体 Std R"/>
          <w:color w:val="000000"/>
          <w:sz w:val="32"/>
          <w:szCs w:val="32"/>
        </w:rPr>
        <w:t>万元，</w:t>
      </w:r>
      <w:r w:rsidR="006A5E83" w:rsidRPr="004E14BA">
        <w:rPr>
          <w:rFonts w:ascii="仿宋_GB2312" w:eastAsia="仿宋_GB2312" w:hAnsi="Adobe 楷体 Std R" w:hint="eastAsia"/>
          <w:color w:val="000000"/>
          <w:sz w:val="32"/>
          <w:szCs w:val="32"/>
        </w:rPr>
        <w:t>增长</w:t>
      </w:r>
      <w:r w:rsidR="006A5E83">
        <w:rPr>
          <w:rFonts w:ascii="仿宋_GB2312" w:eastAsia="仿宋_GB2312" w:hAnsi="Adobe 楷体 Std R"/>
          <w:color w:val="000000"/>
          <w:sz w:val="32"/>
          <w:szCs w:val="32"/>
        </w:rPr>
        <w:t>5.83</w:t>
      </w:r>
      <w:r w:rsidR="006A5E83" w:rsidRPr="004E14BA">
        <w:rPr>
          <w:rFonts w:ascii="仿宋_GB2312" w:eastAsia="仿宋_GB2312" w:hAnsi="Adobe 楷体 Std R"/>
          <w:color w:val="000000"/>
          <w:sz w:val="32"/>
          <w:szCs w:val="32"/>
        </w:rPr>
        <w:t>%</w:t>
      </w:r>
      <w:r w:rsidR="006A5E83">
        <w:rPr>
          <w:rFonts w:ascii="仿宋_GB2312" w:eastAsia="仿宋_GB2312" w:hAnsi="Adobe 楷体 Std R" w:hint="eastAsia"/>
          <w:color w:val="000000"/>
          <w:sz w:val="32"/>
          <w:szCs w:val="32"/>
        </w:rPr>
        <w:t>。基本支出与项目支出增长的</w:t>
      </w:r>
      <w:r w:rsidR="004E14BA" w:rsidRPr="004E14BA">
        <w:rPr>
          <w:rFonts w:ascii="仿宋_GB2312" w:eastAsia="仿宋_GB2312" w:hAnsi="Adobe 楷体 Std R"/>
          <w:color w:val="000000"/>
          <w:sz w:val="32"/>
          <w:szCs w:val="32"/>
        </w:rPr>
        <w:t>主要原因</w:t>
      </w:r>
      <w:r w:rsidR="006A5E83" w:rsidRPr="002925F4">
        <w:rPr>
          <w:rFonts w:ascii="仿宋_GB2312" w:eastAsia="仿宋_GB2312" w:hAnsi="Adobe 楷体 Std R" w:hint="eastAsia"/>
          <w:color w:val="000000"/>
          <w:sz w:val="32"/>
          <w:szCs w:val="32"/>
        </w:rPr>
        <w:t>为统计口径差异</w:t>
      </w:r>
      <w:r w:rsidR="006A5E83">
        <w:rPr>
          <w:rFonts w:ascii="仿宋_GB2312" w:eastAsia="仿宋_GB2312" w:hAnsi="Adobe 楷体 Std R" w:hint="eastAsia"/>
          <w:color w:val="000000"/>
          <w:sz w:val="32"/>
          <w:szCs w:val="32"/>
        </w:rPr>
        <w:t>，</w:t>
      </w:r>
      <w:r w:rsidR="006A5E83" w:rsidRPr="002925F4">
        <w:rPr>
          <w:rFonts w:ascii="仿宋_GB2312" w:eastAsia="仿宋_GB2312" w:hAnsi="Adobe 楷体 Std R" w:hint="eastAsia"/>
          <w:color w:val="000000"/>
          <w:sz w:val="32"/>
          <w:szCs w:val="32"/>
        </w:rPr>
        <w:t>2024年数据为机构规范调整后全年完整周期的实际支出；而2023年因机构规范调整工作于当年5月完成，同期统计数据仅涵盖调整后半年度的实际开支。</w:t>
      </w:r>
    </w:p>
    <w:p w:rsidR="00D71342" w:rsidRDefault="00D71342">
      <w:pPr>
        <w:pStyle w:val="New"/>
        <w:snapToGrid w:val="0"/>
        <w:spacing w:line="360" w:lineRule="auto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Adobe 楷体 Std R" w:hint="eastAsia"/>
          <w:color w:val="000000"/>
          <w:sz w:val="32"/>
          <w:szCs w:val="32"/>
        </w:rPr>
        <w:t>3.预算使用效益。</w:t>
      </w:r>
    </w:p>
    <w:p w:rsidR="00D71342" w:rsidRDefault="00D71342">
      <w:pPr>
        <w:pStyle w:val="New"/>
        <w:snapToGrid w:val="0"/>
        <w:spacing w:line="360" w:lineRule="auto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Adobe 楷体 Std R" w:hint="eastAsia"/>
          <w:color w:val="000000"/>
          <w:sz w:val="32"/>
          <w:szCs w:val="32"/>
        </w:rPr>
        <w:t>(1)部门整体绩效目标实现情况。</w:t>
      </w:r>
    </w:p>
    <w:p w:rsidR="004E14BA" w:rsidRDefault="00451BFF">
      <w:pPr>
        <w:pStyle w:val="New"/>
        <w:snapToGrid w:val="0"/>
        <w:spacing w:line="360" w:lineRule="auto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2024年，区政法信访办公室紧紧围绕区党工委、管委会中心工作，忠诚履职、攻坚克难，全力维护国家政治安全、确保社会大局稳定、促进</w:t>
      </w:r>
      <w:proofErr w:type="gramStart"/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社会</w:t>
      </w:r>
      <w:r w:rsidR="00E23563">
        <w:rPr>
          <w:rFonts w:ascii="仿宋_GB2312" w:eastAsia="仿宋_GB2312" w:hAnsi="Adobe 楷体 Std R" w:hint="eastAsia"/>
          <w:color w:val="000000"/>
          <w:sz w:val="32"/>
          <w:szCs w:val="32"/>
        </w:rPr>
        <w:t>七</w:t>
      </w:r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正义</w:t>
      </w:r>
      <w:proofErr w:type="gramEnd"/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、保障人民安居乐业，着力建设更高水平的</w:t>
      </w:r>
      <w:proofErr w:type="gramStart"/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平安大</w:t>
      </w:r>
      <w:proofErr w:type="gramEnd"/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亚湾、法治大亚湾，群众安全感和政法工作满意度持续位居全省、全市前列，连续12年获评“平安建设”优秀县（区）。</w:t>
      </w:r>
    </w:p>
    <w:p w:rsidR="00D71342" w:rsidRDefault="00D71342">
      <w:pPr>
        <w:pStyle w:val="New"/>
        <w:snapToGrid w:val="0"/>
        <w:spacing w:line="360" w:lineRule="auto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Adobe 楷体 Std R" w:hint="eastAsia"/>
          <w:color w:val="000000"/>
          <w:sz w:val="32"/>
          <w:szCs w:val="32"/>
        </w:rPr>
        <w:t>(2)重点工作完成情况。</w:t>
      </w:r>
    </w:p>
    <w:p w:rsidR="0083293D" w:rsidRDefault="00451BFF" w:rsidP="002C5C00">
      <w:pPr>
        <w:pStyle w:val="New"/>
        <w:snapToGrid w:val="0"/>
        <w:spacing w:line="360" w:lineRule="auto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推动“1+6+N”基层社会治理体系建设，依托“粤平安”信息化平台，最大限度形成矛盾纠纷化解合力。推动石化区</w:t>
      </w:r>
      <w:r w:rsidR="00D30097">
        <w:rPr>
          <w:rFonts w:ascii="仿宋_GB2312" w:eastAsia="仿宋_GB2312" w:hAnsi="Adobe 楷体 Std R" w:hint="eastAsia"/>
          <w:color w:val="000000"/>
          <w:sz w:val="32"/>
          <w:szCs w:val="32"/>
        </w:rPr>
        <w:t>非公企业党组织互联互建</w:t>
      </w:r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，揭牌成立</w:t>
      </w:r>
      <w:r w:rsidR="00D30097">
        <w:rPr>
          <w:rFonts w:ascii="仿宋_GB2312" w:eastAsia="仿宋_GB2312" w:hAnsi="Adobe 楷体 Std R" w:hint="eastAsia"/>
          <w:color w:val="000000"/>
          <w:sz w:val="32"/>
          <w:szCs w:val="32"/>
        </w:rPr>
        <w:t>多</w:t>
      </w:r>
      <w:r w:rsidR="005A1E9E">
        <w:rPr>
          <w:rFonts w:ascii="仿宋_GB2312" w:eastAsia="仿宋_GB2312" w:hAnsi="Adobe 楷体 Std R" w:hint="eastAsia"/>
          <w:color w:val="000000"/>
          <w:sz w:val="32"/>
          <w:szCs w:val="32"/>
        </w:rPr>
        <w:t>个社区基金</w:t>
      </w:r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。广泛推广“和美湾”大健康服务平台，有效预防发生个人极端案事件。出具各类合法性审查</w:t>
      </w:r>
      <w:r w:rsidR="00D30097">
        <w:rPr>
          <w:rFonts w:ascii="仿宋_GB2312" w:eastAsia="仿宋_GB2312" w:hAnsi="Adobe 楷体 Std R" w:hint="eastAsia"/>
          <w:color w:val="000000"/>
          <w:sz w:val="32"/>
          <w:szCs w:val="32"/>
        </w:rPr>
        <w:t>文</w:t>
      </w:r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件，任命首批行政复议官，充实专业队伍，优化涉</w:t>
      </w:r>
      <w:proofErr w:type="gramStart"/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企行政</w:t>
      </w:r>
      <w:proofErr w:type="gramEnd"/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复议操作流程，促进市场竞争公平有序。加强对行政执法行为监管，定期向我区</w:t>
      </w:r>
      <w:r w:rsidR="00D30097">
        <w:rPr>
          <w:rFonts w:ascii="仿宋_GB2312" w:eastAsia="仿宋_GB2312" w:hAnsi="Adobe 楷体 Std R" w:hint="eastAsia"/>
          <w:color w:val="000000"/>
          <w:sz w:val="32"/>
          <w:szCs w:val="32"/>
        </w:rPr>
        <w:t>多</w:t>
      </w:r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家市重点联系企业收集</w:t>
      </w:r>
      <w:proofErr w:type="gramStart"/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涉执法</w:t>
      </w:r>
      <w:proofErr w:type="gramEnd"/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司法活动问题</w:t>
      </w:r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lastRenderedPageBreak/>
        <w:t>及意见建议，收集</w:t>
      </w:r>
      <w:proofErr w:type="gramStart"/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涉企乱罚款</w:t>
      </w:r>
      <w:proofErr w:type="gramEnd"/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和职权重放轻管正反典型案例。对全区行政执法单位案卷进行评查审议，以监督促规范，以评查促提升。</w:t>
      </w:r>
      <w:r w:rsidR="00494BAC" w:rsidRPr="00494BAC">
        <w:rPr>
          <w:rFonts w:ascii="仿宋_GB2312" w:eastAsia="仿宋_GB2312" w:hAnsi="Adobe 楷体 Std R" w:hint="eastAsia"/>
          <w:color w:val="000000"/>
          <w:sz w:val="32"/>
          <w:szCs w:val="32"/>
        </w:rPr>
        <w:t>逐步完善</w:t>
      </w:r>
      <w:r w:rsidR="00494BAC">
        <w:rPr>
          <w:rFonts w:ascii="仿宋_GB2312" w:eastAsia="仿宋_GB2312" w:hAnsi="Adobe 楷体 Std R" w:hint="eastAsia"/>
          <w:color w:val="000000"/>
          <w:sz w:val="32"/>
          <w:szCs w:val="32"/>
        </w:rPr>
        <w:t>区、街道、村（社区）人民调解工作体系，不断延伸公共法律服务触角</w:t>
      </w:r>
      <w:r w:rsidR="00E23563">
        <w:rPr>
          <w:rFonts w:ascii="仿宋_GB2312" w:eastAsia="仿宋_GB2312" w:hAnsi="Adobe 楷体 Std R" w:hint="eastAsia"/>
          <w:color w:val="000000"/>
          <w:sz w:val="32"/>
          <w:szCs w:val="32"/>
        </w:rPr>
        <w:t>，</w:t>
      </w:r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2024</w:t>
      </w:r>
      <w:r w:rsidR="00494BAC">
        <w:rPr>
          <w:rFonts w:ascii="仿宋_GB2312" w:eastAsia="仿宋_GB2312" w:hAnsi="Adobe 楷体 Std R" w:hint="eastAsia"/>
          <w:color w:val="000000"/>
          <w:sz w:val="32"/>
          <w:szCs w:val="32"/>
        </w:rPr>
        <w:t>年</w:t>
      </w:r>
      <w:r w:rsidRPr="00451BFF">
        <w:rPr>
          <w:rFonts w:ascii="仿宋_GB2312" w:eastAsia="仿宋_GB2312" w:hAnsi="Adobe 楷体 Std R" w:hint="eastAsia"/>
          <w:color w:val="000000"/>
          <w:sz w:val="32"/>
          <w:szCs w:val="32"/>
        </w:rPr>
        <w:t>人民调解成功案件2839宗，涉案金额近3000万元，办结公证业务2272件，办理法律援助案件780件，提供法律咨询3000余人次，压减或取消证明材料1332项。</w:t>
      </w:r>
    </w:p>
    <w:p w:rsidR="00D71342" w:rsidRDefault="00D71342">
      <w:pPr>
        <w:pStyle w:val="New"/>
        <w:snapToGrid w:val="0"/>
        <w:spacing w:line="360" w:lineRule="auto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Adobe 楷体 Std R" w:hint="eastAsia"/>
          <w:color w:val="000000"/>
          <w:sz w:val="32"/>
          <w:szCs w:val="32"/>
        </w:rPr>
        <w:t>(三）部门整体支出绩效管理存在问题及改进意见</w:t>
      </w:r>
    </w:p>
    <w:p w:rsidR="00642F18" w:rsidRDefault="00642F18">
      <w:pPr>
        <w:pStyle w:val="New"/>
        <w:snapToGrid w:val="0"/>
        <w:spacing w:line="360" w:lineRule="auto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Adobe 楷体 Std R" w:hint="eastAsia"/>
          <w:color w:val="000000"/>
          <w:sz w:val="32"/>
          <w:szCs w:val="32"/>
        </w:rPr>
        <w:t>1</w:t>
      </w:r>
      <w:r>
        <w:rPr>
          <w:rFonts w:ascii="仿宋_GB2312" w:eastAsia="仿宋_GB2312" w:hAnsi="Adobe 楷体 Std R"/>
          <w:color w:val="000000"/>
          <w:sz w:val="32"/>
          <w:szCs w:val="32"/>
        </w:rPr>
        <w:t>.</w:t>
      </w:r>
      <w:r>
        <w:rPr>
          <w:rFonts w:ascii="仿宋_GB2312" w:eastAsia="仿宋_GB2312" w:hAnsi="Adobe 楷体 Std R" w:hint="eastAsia"/>
          <w:color w:val="000000"/>
          <w:sz w:val="32"/>
          <w:szCs w:val="32"/>
        </w:rPr>
        <w:t>存在问题</w:t>
      </w:r>
    </w:p>
    <w:p w:rsidR="009111FE" w:rsidRDefault="00642F18">
      <w:pPr>
        <w:pStyle w:val="New"/>
        <w:snapToGrid w:val="0"/>
        <w:spacing w:line="360" w:lineRule="auto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Adobe 楷体 Std R" w:hint="eastAsia"/>
          <w:color w:val="000000"/>
          <w:sz w:val="32"/>
          <w:szCs w:val="32"/>
        </w:rPr>
        <w:t>一是</w:t>
      </w:r>
      <w:r w:rsidR="005A1E9E" w:rsidRPr="005A1E9E">
        <w:rPr>
          <w:rFonts w:ascii="仿宋_GB2312" w:eastAsia="仿宋_GB2312" w:hAnsi="Adobe 楷体 Std R" w:hint="eastAsia"/>
          <w:color w:val="000000"/>
          <w:sz w:val="32"/>
          <w:szCs w:val="32"/>
        </w:rPr>
        <w:t>部分</w:t>
      </w:r>
      <w:r w:rsidR="005A1E9E">
        <w:rPr>
          <w:rFonts w:ascii="仿宋_GB2312" w:eastAsia="仿宋_GB2312" w:hAnsi="Adobe 楷体 Std R" w:hint="eastAsia"/>
          <w:color w:val="000000"/>
          <w:sz w:val="32"/>
          <w:szCs w:val="32"/>
        </w:rPr>
        <w:t>绩效指标设置较不合理，未充分考虑到项目实施过程中的限制因素，</w:t>
      </w:r>
      <w:r w:rsidR="005A1E9E" w:rsidRPr="005A1E9E">
        <w:rPr>
          <w:rFonts w:ascii="仿宋_GB2312" w:eastAsia="仿宋_GB2312" w:hAnsi="Adobe 楷体 Std R" w:hint="eastAsia"/>
          <w:color w:val="000000"/>
          <w:sz w:val="32"/>
          <w:szCs w:val="32"/>
        </w:rPr>
        <w:t>导致部分绩效指标完成</w:t>
      </w:r>
      <w:proofErr w:type="gramStart"/>
      <w:r w:rsidR="005A1E9E" w:rsidRPr="005A1E9E">
        <w:rPr>
          <w:rFonts w:ascii="仿宋_GB2312" w:eastAsia="仿宋_GB2312" w:hAnsi="Adobe 楷体 Std R" w:hint="eastAsia"/>
          <w:color w:val="000000"/>
          <w:sz w:val="32"/>
          <w:szCs w:val="32"/>
        </w:rPr>
        <w:t>值未能</w:t>
      </w:r>
      <w:proofErr w:type="gramEnd"/>
      <w:r w:rsidR="005A1E9E" w:rsidRPr="005A1E9E">
        <w:rPr>
          <w:rFonts w:ascii="仿宋_GB2312" w:eastAsia="仿宋_GB2312" w:hAnsi="Adobe 楷体 Std R" w:hint="eastAsia"/>
          <w:color w:val="000000"/>
          <w:sz w:val="32"/>
          <w:szCs w:val="32"/>
        </w:rPr>
        <w:t>达到预定目标</w:t>
      </w:r>
      <w:r>
        <w:rPr>
          <w:rFonts w:ascii="仿宋_GB2312" w:eastAsia="仿宋_GB2312" w:hAnsi="Adobe 楷体 Std R" w:hint="eastAsia"/>
          <w:color w:val="000000"/>
          <w:sz w:val="32"/>
          <w:szCs w:val="32"/>
        </w:rPr>
        <w:t>。二是</w:t>
      </w:r>
      <w:r w:rsidR="009111FE">
        <w:rPr>
          <w:rFonts w:ascii="仿宋_GB2312" w:eastAsia="仿宋_GB2312" w:hAnsi="Adobe 楷体 Std R" w:hint="eastAsia"/>
          <w:color w:val="000000"/>
          <w:sz w:val="32"/>
          <w:szCs w:val="32"/>
        </w:rPr>
        <w:t>定性类</w:t>
      </w:r>
      <w:r w:rsidR="00913C9A">
        <w:rPr>
          <w:rFonts w:ascii="仿宋_GB2312" w:eastAsia="仿宋_GB2312" w:hAnsi="Adobe 楷体 Std R" w:hint="eastAsia"/>
          <w:color w:val="000000"/>
          <w:sz w:val="32"/>
          <w:szCs w:val="32"/>
        </w:rPr>
        <w:t>绩效</w:t>
      </w:r>
      <w:r w:rsidR="008E773C">
        <w:rPr>
          <w:rFonts w:ascii="仿宋_GB2312" w:eastAsia="仿宋_GB2312" w:hAnsi="Adobe 楷体 Std R" w:hint="eastAsia"/>
          <w:color w:val="000000"/>
          <w:sz w:val="32"/>
          <w:szCs w:val="32"/>
        </w:rPr>
        <w:t>目标指标</w:t>
      </w:r>
      <w:r w:rsidR="009111FE">
        <w:rPr>
          <w:rFonts w:ascii="仿宋_GB2312" w:eastAsia="仿宋_GB2312" w:hAnsi="Adobe 楷体 Std R" w:hint="eastAsia"/>
          <w:color w:val="000000"/>
          <w:sz w:val="32"/>
          <w:szCs w:val="32"/>
        </w:rPr>
        <w:t>设置不够清晰、细化，为后续成果验收的佐证工作增加难度</w:t>
      </w:r>
      <w:r w:rsidR="00913C9A">
        <w:rPr>
          <w:rFonts w:ascii="仿宋_GB2312" w:eastAsia="仿宋_GB2312" w:hAnsi="Adobe 楷体 Std R" w:hint="eastAsia"/>
          <w:color w:val="000000"/>
          <w:sz w:val="32"/>
          <w:szCs w:val="32"/>
        </w:rPr>
        <w:t>。</w:t>
      </w:r>
    </w:p>
    <w:p w:rsidR="00642F18" w:rsidRDefault="00642F18">
      <w:pPr>
        <w:pStyle w:val="New"/>
        <w:snapToGrid w:val="0"/>
        <w:spacing w:line="360" w:lineRule="auto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Adobe 楷体 Std R" w:hint="eastAsia"/>
          <w:color w:val="000000"/>
          <w:sz w:val="32"/>
          <w:szCs w:val="32"/>
        </w:rPr>
        <w:t>（2）改进意见</w:t>
      </w:r>
    </w:p>
    <w:p w:rsidR="00D71342" w:rsidRDefault="009111FE">
      <w:pPr>
        <w:pStyle w:val="New"/>
        <w:snapToGrid w:val="0"/>
        <w:spacing w:line="360" w:lineRule="auto"/>
        <w:ind w:firstLineChars="200" w:firstLine="640"/>
        <w:rPr>
          <w:rFonts w:ascii="仿宋_GB2312" w:eastAsia="仿宋_GB2312" w:hAnsi="Adobe 楷体 Std R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进一步提高年度预算编制的科学性和准确性</w:t>
      </w:r>
      <w:r w:rsidR="00642F18"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加强与各业务科室的沟通，强化项目开展前期的调研和论证工作，做细、做实、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做准预算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，根据部门职能职责和年度工作任务，设置绩效目标、细化、量化绩效指标，充分发挥预算控制导向作用。</w:t>
      </w:r>
    </w:p>
    <w:sectPr w:rsidR="00D71342">
      <w:footerReference w:type="default" r:id="rId6"/>
      <w:pgSz w:w="11906" w:h="16838"/>
      <w:pgMar w:top="2041" w:right="1418" w:bottom="1418" w:left="1531" w:header="851" w:footer="992" w:gutter="0"/>
      <w:cols w:space="720"/>
      <w:docGrid w:type="linesAndChar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6E37" w:rsidRDefault="00226E37" w:rsidP="0061406D">
      <w:r>
        <w:separator/>
      </w:r>
    </w:p>
  </w:endnote>
  <w:endnote w:type="continuationSeparator" w:id="0">
    <w:p w:rsidR="00226E37" w:rsidRDefault="00226E37" w:rsidP="00614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dobe 楷体 Std R">
    <w:altName w:val="宋体"/>
    <w:panose1 w:val="02010609010101010101"/>
    <w:charset w:val="86"/>
    <w:family w:val="roman"/>
    <w:pitch w:val="default"/>
    <w:sig w:usb0="00000207" w:usb1="080F0000" w:usb2="00000010" w:usb3="00000000" w:csb0="000600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05AE" w:rsidRDefault="000905AE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C87F2C" w:rsidRPr="00C87F2C">
      <w:rPr>
        <w:noProof/>
        <w:lang w:val="zh-CN"/>
      </w:rPr>
      <w:t>5</w:t>
    </w:r>
    <w:r>
      <w:fldChar w:fldCharType="end"/>
    </w:r>
  </w:p>
  <w:p w:rsidR="000905AE" w:rsidRDefault="000905A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6E37" w:rsidRDefault="00226E37" w:rsidP="0061406D">
      <w:r>
        <w:separator/>
      </w:r>
    </w:p>
  </w:footnote>
  <w:footnote w:type="continuationSeparator" w:id="0">
    <w:p w:rsidR="00226E37" w:rsidRDefault="00226E37" w:rsidP="006140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435"/>
  <w:displayHorizontalDrawingGridEvery w:val="0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905AE"/>
    <w:rsid w:val="001158F6"/>
    <w:rsid w:val="00134084"/>
    <w:rsid w:val="00172A27"/>
    <w:rsid w:val="00182F8D"/>
    <w:rsid w:val="001E1C00"/>
    <w:rsid w:val="001F7521"/>
    <w:rsid w:val="00226E37"/>
    <w:rsid w:val="00253011"/>
    <w:rsid w:val="002925F4"/>
    <w:rsid w:val="002C5C00"/>
    <w:rsid w:val="003B204A"/>
    <w:rsid w:val="003F7419"/>
    <w:rsid w:val="00451BFF"/>
    <w:rsid w:val="00494BAC"/>
    <w:rsid w:val="004A17C6"/>
    <w:rsid w:val="004B0924"/>
    <w:rsid w:val="004E14BA"/>
    <w:rsid w:val="00505063"/>
    <w:rsid w:val="0051155C"/>
    <w:rsid w:val="005229DE"/>
    <w:rsid w:val="005A1E9E"/>
    <w:rsid w:val="005E015C"/>
    <w:rsid w:val="0061406D"/>
    <w:rsid w:val="00626573"/>
    <w:rsid w:val="00642F18"/>
    <w:rsid w:val="00643D12"/>
    <w:rsid w:val="006479CB"/>
    <w:rsid w:val="006A5E83"/>
    <w:rsid w:val="00765C93"/>
    <w:rsid w:val="00781FF7"/>
    <w:rsid w:val="007B44F6"/>
    <w:rsid w:val="0083293D"/>
    <w:rsid w:val="008E773C"/>
    <w:rsid w:val="009111FE"/>
    <w:rsid w:val="009130DE"/>
    <w:rsid w:val="00913C9A"/>
    <w:rsid w:val="009D6DF0"/>
    <w:rsid w:val="00B77C5F"/>
    <w:rsid w:val="00BA28A8"/>
    <w:rsid w:val="00BD6822"/>
    <w:rsid w:val="00BF17C7"/>
    <w:rsid w:val="00C04DCC"/>
    <w:rsid w:val="00C6557C"/>
    <w:rsid w:val="00C87F2C"/>
    <w:rsid w:val="00CA6331"/>
    <w:rsid w:val="00D30097"/>
    <w:rsid w:val="00D71342"/>
    <w:rsid w:val="00D768CA"/>
    <w:rsid w:val="00E23563"/>
    <w:rsid w:val="00E44216"/>
    <w:rsid w:val="00E54AF5"/>
    <w:rsid w:val="00F929C0"/>
    <w:rsid w:val="00FB3259"/>
    <w:rsid w:val="00FE03F0"/>
    <w:rsid w:val="139E44CC"/>
    <w:rsid w:val="1AFB1CD5"/>
    <w:rsid w:val="23FB4ABB"/>
    <w:rsid w:val="29151F2D"/>
    <w:rsid w:val="4B27064F"/>
    <w:rsid w:val="4EC83609"/>
    <w:rsid w:val="5213587E"/>
    <w:rsid w:val="5F22034E"/>
    <w:rsid w:val="643728D5"/>
    <w:rsid w:val="6BBE2A58"/>
    <w:rsid w:val="6D9A100E"/>
    <w:rsid w:val="7A0D70D1"/>
    <w:rsid w:val="7A81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EEE065"/>
  <w15:chartTrackingRefBased/>
  <w15:docId w15:val="{11DF415D-FD18-4619-94A3-B37A22C76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">
    <w:name w:val="页脚 New New New New"/>
    <w:basedOn w:val="NewNewNew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New">
    <w:name w:val="标题 3 New"/>
    <w:basedOn w:val="a"/>
    <w:next w:val="a"/>
    <w:pPr>
      <w:keepNext/>
      <w:keepLines/>
      <w:spacing w:before="260" w:after="260" w:line="413" w:lineRule="auto"/>
      <w:outlineLvl w:val="2"/>
    </w:pPr>
    <w:rPr>
      <w:rFonts w:ascii="仿宋_GB2312" w:eastAsia="仿宋_GB2312"/>
      <w:b/>
      <w:sz w:val="32"/>
    </w:rPr>
  </w:style>
  <w:style w:type="paragraph" w:customStyle="1" w:styleId="NewNew">
    <w:name w:val="页脚 New New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ewNew0">
    <w:name w:val="正文 New New"/>
    <w:pPr>
      <w:widowControl w:val="0"/>
      <w:spacing w:line="360" w:lineRule="auto"/>
      <w:ind w:firstLineChars="200" w:firstLine="200"/>
      <w:jc w:val="both"/>
    </w:pPr>
    <w:rPr>
      <w:rFonts w:ascii="Calibri" w:eastAsia="仿宋_GB2312" w:hAnsi="Calibri" w:cs="黑体"/>
      <w:kern w:val="2"/>
      <w:sz w:val="32"/>
      <w:szCs w:val="22"/>
    </w:rPr>
  </w:style>
  <w:style w:type="paragraph" w:customStyle="1" w:styleId="CharCharCharCharCharCharCharCharCharCharChar">
    <w:name w:val="Char Char Char Char Char Char Char Char Char Char Char"/>
    <w:basedOn w:val="a"/>
    <w:pPr>
      <w:widowControl/>
      <w:adjustRightInd w:val="0"/>
      <w:spacing w:after="160" w:line="240" w:lineRule="exact"/>
      <w:jc w:val="left"/>
    </w:pPr>
  </w:style>
  <w:style w:type="paragraph" w:customStyle="1" w:styleId="NewNewNew0">
    <w:name w:val="页脚 New New New"/>
    <w:basedOn w:val="NewNew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ew">
    <w:name w:val="正文 New"/>
    <w:pPr>
      <w:widowControl w:val="0"/>
      <w:jc w:val="both"/>
    </w:pPr>
    <w:rPr>
      <w:kern w:val="2"/>
      <w:sz w:val="21"/>
      <w:szCs w:val="22"/>
    </w:rPr>
  </w:style>
  <w:style w:type="paragraph" w:customStyle="1" w:styleId="NewNewNew">
    <w:name w:val="正文 New New New"/>
    <w:pPr>
      <w:widowControl w:val="0"/>
      <w:spacing w:line="360" w:lineRule="auto"/>
      <w:ind w:firstLineChars="200" w:firstLine="200"/>
      <w:jc w:val="both"/>
    </w:pPr>
    <w:rPr>
      <w:rFonts w:ascii="Calibri" w:eastAsia="仿宋_GB2312" w:hAnsi="Calibri" w:cs="黑体"/>
      <w:kern w:val="2"/>
      <w:sz w:val="32"/>
      <w:szCs w:val="22"/>
    </w:rPr>
  </w:style>
  <w:style w:type="paragraph" w:customStyle="1" w:styleId="New0">
    <w:name w:val="页脚 New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3">
    <w:name w:val="Table Grid"/>
    <w:basedOn w:val="a1"/>
    <w:uiPriority w:val="99"/>
    <w:unhideWhenUsed/>
    <w:rsid w:val="004E14B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65C93"/>
    <w:rPr>
      <w:sz w:val="18"/>
      <w:szCs w:val="18"/>
    </w:rPr>
  </w:style>
  <w:style w:type="character" w:customStyle="1" w:styleId="a5">
    <w:name w:val="批注框文本 字符"/>
    <w:link w:val="a4"/>
    <w:rsid w:val="00765C93"/>
    <w:rPr>
      <w:kern w:val="2"/>
      <w:sz w:val="18"/>
      <w:szCs w:val="18"/>
    </w:rPr>
  </w:style>
  <w:style w:type="paragraph" w:styleId="a6">
    <w:name w:val="header"/>
    <w:basedOn w:val="a"/>
    <w:link w:val="a7"/>
    <w:rsid w:val="006140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61406D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rsid w:val="00614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61406D"/>
    <w:rPr>
      <w:kern w:val="2"/>
      <w:sz w:val="18"/>
      <w:szCs w:val="18"/>
    </w:rPr>
  </w:style>
  <w:style w:type="paragraph" w:customStyle="1" w:styleId="CharCharCharCharCharCharCharCharCharCharChar0">
    <w:name w:val="Char Char Char Char Char Char Char Char Char Char Char"/>
    <w:basedOn w:val="a"/>
    <w:rsid w:val="009111FE"/>
    <w:pPr>
      <w:widowControl/>
      <w:adjustRightInd w:val="0"/>
      <w:spacing w:after="160" w:line="240" w:lineRule="exact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5</Pages>
  <Words>317</Words>
  <Characters>1811</Characters>
  <Application>Microsoft Office Word</Application>
  <DocSecurity>0</DocSecurity>
  <PresentationFormat/>
  <Lines>15</Lines>
  <Paragraphs>4</Paragraphs>
  <Slides>0</Slides>
  <Notes>0</Notes>
  <HiddenSlides>0</HiddenSlides>
  <MMClips>0</MMClips>
  <ScaleCrop>false</ScaleCrop>
  <Manager/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方案附件3：</dc:title>
  <dc:subject/>
  <dc:creator>曾友谊</dc:creator>
  <cp:keywords/>
  <dc:description/>
  <cp:lastModifiedBy>HP</cp:lastModifiedBy>
  <cp:revision>4</cp:revision>
  <cp:lastPrinted>2025-08-04T08:29:00Z</cp:lastPrinted>
  <dcterms:created xsi:type="dcterms:W3CDTF">2025-08-05T08:35:00Z</dcterms:created>
  <dcterms:modified xsi:type="dcterms:W3CDTF">2025-08-13T08:33:00Z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