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64" w:lineRule="auto"/>
        <w:jc w:val="center"/>
        <w:rPr>
          <w:rFonts w:ascii="方正小标宋简体" w:hAnsi="黑体" w:eastAsia="方正小标宋简体" w:cs="仿宋"/>
          <w:color w:val="000000"/>
          <w:sz w:val="44"/>
          <w:szCs w:val="32"/>
        </w:rPr>
      </w:pPr>
      <w:r>
        <w:rPr>
          <w:rFonts w:ascii="方正小标宋简体" w:hAnsi="黑体" w:eastAsia="方正小标宋简体" w:cs="仿宋"/>
          <w:color w:val="000000"/>
          <w:sz w:val="44"/>
          <w:szCs w:val="32"/>
        </w:rPr>
        <w:t>惠州大亚湾经济技术开发区市场监督管理局</w:t>
      </w:r>
    </w:p>
    <w:p>
      <w:pPr>
        <w:snapToGrid w:val="0"/>
        <w:spacing w:line="264" w:lineRule="auto"/>
        <w:jc w:val="center"/>
        <w:rPr>
          <w:rFonts w:ascii="方正小标宋简体" w:hAnsi="黑体" w:eastAsia="方正小标宋简体" w:cs="仿宋"/>
          <w:color w:val="000000"/>
          <w:sz w:val="44"/>
          <w:szCs w:val="32"/>
        </w:rPr>
      </w:pPr>
      <w:r>
        <w:rPr>
          <w:rFonts w:ascii="方正小标宋简体" w:hAnsi="黑体" w:eastAsia="方正小标宋简体" w:cs="仿宋"/>
          <w:color w:val="000000"/>
          <w:sz w:val="44"/>
          <w:szCs w:val="32"/>
        </w:rPr>
        <w:t>行政处罚决定书</w:t>
      </w:r>
    </w:p>
    <w:p>
      <w:pPr>
        <w:snapToGrid w:val="0"/>
        <w:spacing w:line="264" w:lineRule="auto"/>
        <w:jc w:val="center"/>
        <w:rPr>
          <w:rFonts w:ascii="仿宋" w:hAnsi="仿宋" w:eastAsia="仿宋" w:cs="仿宋"/>
          <w:color w:val="000000"/>
          <w:sz w:val="32"/>
          <w:szCs w:val="32"/>
        </w:rPr>
      </w:pPr>
      <w:r>
        <w:rPr>
          <w:rFonts w:ascii="仿宋" w:hAnsi="仿宋" w:eastAsia="仿宋" w:cs="仿宋"/>
          <w:color w:val="000000"/>
          <w:sz w:val="32"/>
          <w:szCs w:val="32"/>
          <w:u w:val="single"/>
        </w:rPr>
        <w:t>惠湾</w:t>
      </w:r>
      <w:r>
        <w:rPr>
          <w:rFonts w:ascii="仿宋" w:hAnsi="仿宋" w:eastAsia="仿宋" w:cs="仿宋"/>
          <w:color w:val="000000"/>
          <w:sz w:val="32"/>
          <w:szCs w:val="32"/>
        </w:rPr>
        <w:t>市监</w:t>
      </w:r>
      <w:r>
        <w:rPr>
          <w:rFonts w:ascii="仿宋" w:hAnsi="仿宋" w:eastAsia="仿宋" w:cs="仿宋"/>
          <w:color w:val="000000"/>
          <w:sz w:val="32"/>
          <w:szCs w:val="32"/>
          <w:u w:val="single"/>
        </w:rPr>
        <w:t>西处字</w:t>
      </w:r>
      <w:r>
        <w:rPr>
          <w:rFonts w:ascii="仿宋" w:hAnsi="仿宋" w:eastAsia="仿宋" w:cs="仿宋"/>
          <w:color w:val="000000"/>
          <w:sz w:val="32"/>
          <w:szCs w:val="32"/>
        </w:rPr>
        <w:t>〔</w:t>
      </w:r>
      <w:r>
        <w:rPr>
          <w:rFonts w:ascii="仿宋" w:hAnsi="仿宋" w:eastAsia="仿宋" w:cs="仿宋"/>
          <w:color w:val="000000"/>
          <w:sz w:val="32"/>
          <w:szCs w:val="32"/>
          <w:u w:val="single"/>
        </w:rPr>
        <w:t>2020</w:t>
      </w:r>
      <w:r>
        <w:rPr>
          <w:rFonts w:ascii="仿宋" w:hAnsi="仿宋" w:eastAsia="仿宋" w:cs="仿宋"/>
          <w:color w:val="000000"/>
          <w:sz w:val="32"/>
          <w:szCs w:val="32"/>
        </w:rPr>
        <w:t>〕</w:t>
      </w:r>
      <w:r>
        <w:rPr>
          <w:rFonts w:ascii="仿宋" w:hAnsi="仿宋" w:eastAsia="仿宋" w:cs="仿宋"/>
          <w:color w:val="000000"/>
          <w:sz w:val="32"/>
          <w:szCs w:val="32"/>
          <w:u w:val="single"/>
        </w:rPr>
        <w:t>165</w:t>
      </w:r>
      <w:r>
        <w:rPr>
          <w:rFonts w:ascii="仿宋" w:hAnsi="仿宋" w:eastAsia="仿宋" w:cs="仿宋"/>
          <w:color w:val="000000"/>
          <w:sz w:val="32"/>
          <w:szCs w:val="32"/>
        </w:rPr>
        <w:t>号</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rPr>
        <w:t>当事人：</w:t>
      </w:r>
      <w:r>
        <w:rPr>
          <w:rFonts w:ascii="仿宋" w:hAnsi="仿宋" w:eastAsia="仿宋" w:cs="仿宋"/>
          <w:color w:val="000000"/>
          <w:sz w:val="32"/>
          <w:szCs w:val="32"/>
          <w:u w:val="single"/>
        </w:rPr>
        <w:t xml:space="preserve">惠州大亚湾恋忆回香牛杂馆（经营者：陈青平）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rPr>
        <w:t>主体资格证照名称：</w:t>
      </w:r>
      <w:r>
        <w:rPr>
          <w:rFonts w:ascii="仿宋" w:hAnsi="仿宋" w:eastAsia="仿宋" w:cs="仿宋"/>
          <w:color w:val="000000"/>
          <w:sz w:val="32"/>
          <w:szCs w:val="32"/>
          <w:u w:val="single"/>
        </w:rPr>
        <w:t xml:space="preserve">营业执照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rPr>
        <w:t>统一社会信用代码（注册号）：</w:t>
      </w:r>
      <w:r>
        <w:rPr>
          <w:rFonts w:ascii="仿宋" w:hAnsi="仿宋" w:eastAsia="仿宋" w:cs="仿宋"/>
          <w:color w:val="000000"/>
          <w:sz w:val="32"/>
          <w:szCs w:val="32"/>
          <w:u w:val="single"/>
        </w:rPr>
        <w:t xml:space="preserve">92441300MA51LMFG8D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rPr>
        <w:t>法定代表人（负责人、经营者）：</w:t>
      </w:r>
      <w:r>
        <w:rPr>
          <w:rFonts w:ascii="仿宋" w:hAnsi="仿宋" w:eastAsia="仿宋" w:cs="仿宋"/>
          <w:color w:val="000000"/>
          <w:sz w:val="32"/>
          <w:szCs w:val="32"/>
          <w:u w:val="single"/>
        </w:rPr>
        <w:t xml:space="preserve">陈青平                      </w:t>
      </w:r>
    </w:p>
    <w:p>
      <w:pPr>
        <w:snapToGrid w:val="0"/>
        <w:spacing w:line="264" w:lineRule="auto"/>
        <w:rPr>
          <w:rFonts w:ascii="仿宋" w:hAnsi="仿宋" w:eastAsia="仿宋" w:cs="仿宋"/>
          <w:color w:val="000000"/>
          <w:sz w:val="32"/>
          <w:szCs w:val="32"/>
          <w:u w:val="single"/>
        </w:rPr>
      </w:pPr>
      <w:bookmarkStart w:id="0" w:name="_GoBack"/>
      <w:bookmarkEnd w:id="0"/>
      <w:r>
        <w:rPr>
          <w:rFonts w:ascii="仿宋" w:hAnsi="仿宋" w:eastAsia="仿宋" w:cs="仿宋"/>
          <w:color w:val="000000"/>
          <w:sz w:val="32"/>
          <w:szCs w:val="32"/>
          <w:u w:val="single"/>
        </w:rPr>
        <w:t xml:space="preserve">    2020年11月16日，本局执法人员对位于惠州大亚湾西区新联新兴路45号的惠州大亚湾恋忆回香牛杂馆依法进行现场检查，现场检查发现当事人在未办理《食品经营许可证》的情况下，擅自在惠州大亚湾西区新联新兴路45号从事餐饮服务。当事人存在未经许可从事餐饮服务的行为，本局于当日依法对当事人立案调查，对当事人违法经营的食品实施扣押行政强制措施（详见《财物清单》第165号），责令当事人立即停止违法经营行为。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w:t>
      </w:r>
      <w:r>
        <w:rPr>
          <w:rFonts w:hint="eastAsia" w:ascii="仿宋" w:hAnsi="仿宋" w:eastAsia="仿宋" w:cs="仿宋"/>
          <w:color w:val="000000"/>
          <w:sz w:val="32"/>
          <w:szCs w:val="32"/>
          <w:u w:val="single"/>
        </w:rPr>
        <w:t xml:space="preserve">经查实，当事人在没有办理《食品经营许可证》的情况下，擅自在惠州大亚湾西区新联新兴路45号从事餐饮服务，经我局西区所执法人员现场检查发现，该店在执法人员检查时正常经营，当事人现场未能提供《食品经营许可证》。当事人未建立进货台账，执法人员现场检查时在该店收银台发现进货票据3张，结合当事人陈述、现场发现的进货票据以及《财物清单》第165号，该案能认定的食品货值金额为1641元。执法人员未发现当事人有建立账本账册，无法收集到当事人违法所得的相关明细账册及单据，故无法计算违法所得。 </w:t>
      </w:r>
      <w:r>
        <w:rPr>
          <w:rFonts w:ascii="仿宋" w:hAnsi="仿宋" w:eastAsia="仿宋" w:cs="仿宋"/>
          <w:color w:val="000000"/>
          <w:sz w:val="32"/>
          <w:szCs w:val="32"/>
          <w:u w:val="single"/>
        </w:rPr>
        <w:t xml:space="preserve">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rPr>
        <w:t xml:space="preserve">    上述事实，主要有以下证据证明：</w:t>
      </w:r>
      <w:r>
        <w:rPr>
          <w:rFonts w:ascii="仿宋" w:hAnsi="仿宋" w:eastAsia="仿宋" w:cs="仿宋"/>
          <w:color w:val="000000"/>
          <w:sz w:val="32"/>
          <w:szCs w:val="32"/>
          <w:u w:val="single"/>
        </w:rPr>
        <w:t>现场笔录、现场照片、询问笔录、当事人身份证复印件、</w:t>
      </w:r>
      <w:r>
        <w:rPr>
          <w:rFonts w:hint="eastAsia" w:ascii="仿宋" w:hAnsi="仿宋" w:eastAsia="仿宋" w:cs="仿宋"/>
          <w:color w:val="000000"/>
          <w:sz w:val="32"/>
          <w:szCs w:val="32"/>
          <w:u w:val="single"/>
        </w:rPr>
        <w:t>《</w:t>
      </w:r>
      <w:r>
        <w:rPr>
          <w:rFonts w:ascii="仿宋" w:hAnsi="仿宋" w:eastAsia="仿宋" w:cs="仿宋"/>
          <w:color w:val="000000"/>
          <w:sz w:val="32"/>
          <w:szCs w:val="32"/>
          <w:u w:val="single"/>
        </w:rPr>
        <w:t>营业执照</w:t>
      </w:r>
      <w:r>
        <w:rPr>
          <w:rFonts w:hint="eastAsia" w:ascii="仿宋" w:hAnsi="仿宋" w:eastAsia="仿宋" w:cs="仿宋"/>
          <w:color w:val="000000"/>
          <w:sz w:val="32"/>
          <w:szCs w:val="32"/>
          <w:u w:val="single"/>
        </w:rPr>
        <w:t>》</w:t>
      </w:r>
      <w:r>
        <w:rPr>
          <w:rFonts w:ascii="仿宋" w:hAnsi="仿宋" w:eastAsia="仿宋" w:cs="仿宋"/>
          <w:color w:val="000000"/>
          <w:sz w:val="32"/>
          <w:szCs w:val="32"/>
          <w:u w:val="single"/>
        </w:rPr>
        <w:t>复印件、</w:t>
      </w:r>
      <w:r>
        <w:rPr>
          <w:rFonts w:hint="eastAsia" w:ascii="仿宋" w:hAnsi="仿宋" w:eastAsia="仿宋" w:cs="仿宋"/>
          <w:color w:val="000000"/>
          <w:sz w:val="32"/>
          <w:szCs w:val="32"/>
          <w:u w:val="single"/>
        </w:rPr>
        <w:t>《</w:t>
      </w:r>
      <w:r>
        <w:rPr>
          <w:rFonts w:ascii="仿宋" w:hAnsi="仿宋" w:eastAsia="仿宋" w:cs="仿宋"/>
          <w:color w:val="000000"/>
          <w:sz w:val="32"/>
          <w:szCs w:val="32"/>
          <w:u w:val="single"/>
        </w:rPr>
        <w:t>财物清单</w:t>
      </w:r>
      <w:r>
        <w:rPr>
          <w:rFonts w:hint="eastAsia" w:ascii="仿宋" w:hAnsi="仿宋" w:eastAsia="仿宋" w:cs="仿宋"/>
          <w:color w:val="000000"/>
          <w:sz w:val="32"/>
          <w:szCs w:val="32"/>
          <w:u w:val="single"/>
        </w:rPr>
        <w:t>》</w:t>
      </w:r>
      <w:r>
        <w:rPr>
          <w:rFonts w:ascii="仿宋" w:hAnsi="仿宋" w:eastAsia="仿宋" w:cs="仿宋"/>
          <w:color w:val="000000"/>
          <w:sz w:val="32"/>
          <w:szCs w:val="32"/>
          <w:u w:val="single"/>
        </w:rPr>
        <w:t xml:space="preserve">第165号、当事人提交的《检讨书》、《食品经营许可证申请受理通知书》复印件，事实清楚，证据确凿。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本局于2020年12月25日向当事人送达《行政处罚听证告知书》（惠湾市监西听字〔2020〕47号），当事人在法定期限内没有提出陈述和申辩意见，没有提出听证申请。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当事人未经许可从事餐饮服务的行为，违反了《中华人民共和国食品安全法》第三十五条第一款，即“国家对食品生产经营实行许可制度。从事食品生产、食品销售、餐饮服务，应当依法取得许可。”的规定。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结合当事人的实际情况，依据《中华人民共和国行政处罚法》第二十七条第一款第四项，即“当事人有下列情形之一的，应当依法从轻或者减轻行政处罚：（四）其他依法从轻或者减轻行政处罚的”以及《广东省市场监督管理局关于行政处罚自由裁量权的适用规则》第十七条第一项，即“有下列情形之一的，可以依法从轻或者减轻行政处罚：（一）积极配合市场监督管理部门调查，如实交代违法事实并主动提供证据材料的”的规定，本局按照教育与处罚结合的原则，对当事人进行减轻处罚。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根据《中华人民共和国食品安全法》第一百二十二条第一款，即“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中华人民共和国行政处罚法》第二十七条第一款第四项，即“当事</w:t>
      </w:r>
      <w:r>
        <w:rPr>
          <w:rFonts w:hint="eastAsia" w:ascii="仿宋" w:hAnsi="仿宋" w:eastAsia="仿宋" w:cs="仿宋"/>
          <w:color w:val="000000"/>
          <w:sz w:val="32"/>
          <w:szCs w:val="32"/>
          <w:u w:val="single"/>
        </w:rPr>
        <w:t>人有下列情形之一的，应当依法从轻或者减轻行政处罚：（四）其他依法从轻或者减轻行政处罚的。”以及《广东省市场监督管理局关于行政处罚自由裁量权的适用规则》第十七条第一项，即“有下列情形之一的，可以依法从轻或者减轻行政处罚：（一）积极配合市场监督管理部门调查，如实交代违法事实并主动提供证据材料的”的规定，本局责令当事人停止违法经营行为，并决定作出如下减轻行政处罚：</w:t>
      </w:r>
      <w:r>
        <w:rPr>
          <w:rFonts w:ascii="仿宋" w:hAnsi="仿宋" w:eastAsia="仿宋" w:cs="仿宋"/>
          <w:color w:val="000000"/>
          <w:sz w:val="32"/>
          <w:szCs w:val="32"/>
          <w:u w:val="single"/>
        </w:rPr>
        <w:t xml:space="preserve">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一、没收违法经营的王老吉（310ml×24瓶/件）1件、青岛啤酒（500ml×12瓶/件）1件；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二、罚款人民币伍仟元整（</w:t>
      </w:r>
      <w:r>
        <w:rPr>
          <w:rFonts w:eastAsia="仿宋" w:cs="Calibri"/>
          <w:color w:val="000000"/>
          <w:sz w:val="32"/>
          <w:szCs w:val="32"/>
          <w:u w:val="single"/>
        </w:rPr>
        <w:t>¥</w:t>
      </w:r>
      <w:r>
        <w:rPr>
          <w:rFonts w:ascii="仿宋" w:hAnsi="仿宋" w:eastAsia="仿宋" w:cs="仿宋"/>
          <w:color w:val="000000"/>
          <w:sz w:val="32"/>
          <w:szCs w:val="32"/>
          <w:u w:val="single"/>
        </w:rPr>
        <w:t xml:space="preserve">5000.00）。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当事人应自接到本处罚决定书之日起15日到惠州大亚湾建设银行、工商银行或农业银行的其中一间银行缴纳罚款，或者使用本局的POS机刷卡缴纳罚款。逾期不缴纳罚款的，根据《中华人民共和国行政处罚法》第五十一条第一项的规定，每日按罚款数额的3%加处罚款，并依法申请人民法院强制执行。             </w:t>
      </w:r>
    </w:p>
    <w:p>
      <w:pPr>
        <w:snapToGrid w:val="0"/>
        <w:spacing w:line="264" w:lineRule="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    如不服从本处罚决定，可在接到本处罚决定书之日起60日内向惠州市市场监督管理局或惠州大亚湾经济技术开发区管理委员会申请行政复议，也可以于6个月内向博罗县人民法院提起行政诉讼。                                                   </w:t>
      </w:r>
    </w:p>
    <w:p>
      <w:pPr>
        <w:snapToGrid w:val="0"/>
        <w:spacing w:line="264" w:lineRule="auto"/>
        <w:jc w:val="right"/>
        <w:rPr>
          <w:rFonts w:ascii="仿宋" w:hAnsi="仿宋" w:eastAsia="仿宋" w:cs="仿宋"/>
          <w:color w:val="000000"/>
          <w:sz w:val="32"/>
          <w:szCs w:val="32"/>
        </w:rPr>
      </w:pPr>
    </w:p>
    <w:p>
      <w:pPr>
        <w:snapToGrid w:val="0"/>
        <w:spacing w:line="264" w:lineRule="auto"/>
        <w:jc w:val="right"/>
        <w:rPr>
          <w:rFonts w:ascii="仿宋" w:hAnsi="仿宋" w:eastAsia="仿宋" w:cs="仿宋"/>
          <w:color w:val="000000"/>
          <w:sz w:val="32"/>
          <w:szCs w:val="32"/>
        </w:rPr>
      </w:pPr>
      <w:r>
        <w:rPr>
          <w:rFonts w:hint="eastAsia" w:ascii="仿宋" w:hAnsi="仿宋" w:eastAsia="仿宋" w:cs="仿宋"/>
          <w:color w:val="000000"/>
          <w:sz w:val="32"/>
          <w:szCs w:val="32"/>
        </w:rPr>
        <w:t>惠州大亚湾经济技术开发区市场监督管理局</w:t>
      </w:r>
    </w:p>
    <w:p>
      <w:pPr>
        <w:snapToGrid w:val="0"/>
        <w:spacing w:line="264" w:lineRule="auto"/>
        <w:ind w:firstLine="5440" w:firstLineChars="1700"/>
        <w:rPr>
          <w:rFonts w:ascii="仿宋" w:hAnsi="仿宋" w:eastAsia="仿宋" w:cs="仿宋"/>
          <w:color w:val="000000"/>
          <w:sz w:val="32"/>
          <w:szCs w:val="32"/>
        </w:rPr>
      </w:pPr>
      <w:r>
        <w:rPr>
          <w:rFonts w:hint="eastAsia" w:ascii="仿宋" w:hAnsi="仿宋" w:eastAsia="仿宋" w:cs="仿宋"/>
          <w:color w:val="000000"/>
          <w:sz w:val="32"/>
          <w:szCs w:val="32"/>
        </w:rPr>
        <w:t>（印</w:t>
      </w:r>
      <w:r>
        <w:rPr>
          <w:rFonts w:ascii="仿宋" w:hAnsi="仿宋" w:eastAsia="仿宋" w:cs="仿宋"/>
          <w:color w:val="000000"/>
          <w:sz w:val="32"/>
          <w:szCs w:val="32"/>
        </w:rPr>
        <w:t xml:space="preserve"> 章）</w:t>
      </w:r>
    </w:p>
    <w:p>
      <w:pPr>
        <w:snapToGrid w:val="0"/>
        <w:spacing w:line="264" w:lineRule="auto"/>
        <w:ind w:firstLine="4800" w:firstLineChars="1500"/>
        <w:rPr>
          <w:rFonts w:ascii="仿宋" w:hAnsi="仿宋" w:eastAsia="仿宋" w:cs="仿宋"/>
          <w:color w:val="000000"/>
          <w:sz w:val="32"/>
          <w:szCs w:val="32"/>
        </w:rPr>
      </w:pPr>
      <w:r>
        <w:rPr>
          <w:rFonts w:ascii="仿宋" w:hAnsi="仿宋" w:eastAsia="仿宋" w:cs="仿宋"/>
          <w:color w:val="000000"/>
          <w:sz w:val="32"/>
          <w:szCs w:val="32"/>
        </w:rPr>
        <w:t>2020年12月31日</w:t>
      </w:r>
    </w:p>
    <w:p>
      <w:pPr>
        <w:snapToGrid w:val="0"/>
        <w:spacing w:line="264" w:lineRule="auto"/>
        <w:jc w:val="center"/>
        <w:rPr>
          <w:rFonts w:ascii="仿宋" w:hAnsi="仿宋" w:eastAsia="仿宋" w:cs="仿宋"/>
          <w:color w:val="000000"/>
          <w:sz w:val="32"/>
          <w:szCs w:val="32"/>
        </w:rPr>
      </w:pPr>
    </w:p>
    <w:p>
      <w:pPr>
        <w:snapToGrid w:val="0"/>
        <w:spacing w:line="264" w:lineRule="auto"/>
        <w:jc w:val="center"/>
        <w:rPr>
          <w:rFonts w:ascii="仿宋" w:hAnsi="仿宋" w:eastAsia="仿宋" w:cs="仿宋"/>
          <w:color w:val="000000"/>
          <w:sz w:val="32"/>
          <w:szCs w:val="32"/>
        </w:rPr>
      </w:pPr>
    </w:p>
    <w:p>
      <w:pPr>
        <w:snapToGrid w:val="0"/>
        <w:spacing w:line="264" w:lineRule="auto"/>
        <w:jc w:val="center"/>
        <w:rPr>
          <w:rFonts w:ascii="Times New Roman" w:hAnsi="Times New Roman" w:eastAsia="仿宋_GB2312" w:cs="仿宋"/>
          <w:color w:val="000000"/>
          <w:sz w:val="32"/>
          <w:szCs w:val="32"/>
        </w:rPr>
      </w:pPr>
      <w:r>
        <w:rPr>
          <w:rFonts w:ascii="黑体" w:hAnsi="黑体" w:eastAsia="黑体" w:cs="仿宋"/>
          <w:color w:val="000000"/>
          <w:sz w:val="32"/>
          <w:szCs w:val="32"/>
        </w:rPr>
        <w:t>（市场监督管理部门将依法向社会公示本行政处罚决定信息）</w:t>
      </w:r>
    </w:p>
    <w:p>
      <w:pPr>
        <w:snapToGrid w:val="0"/>
        <w:spacing w:line="264" w:lineRule="auto"/>
        <w:jc w:val="center"/>
        <w:rPr>
          <w:rFonts w:ascii="Times New Roman" w:hAnsi="Times New Roman" w:eastAsia="仿宋_GB2312" w:cs="仿宋"/>
          <w:color w:val="000000"/>
          <w:sz w:val="32"/>
          <w:szCs w:val="32"/>
        </w:rPr>
      </w:pPr>
    </w:p>
    <w:p>
      <w:pPr>
        <w:snapToGrid w:val="0"/>
        <w:spacing w:line="264" w:lineRule="auto"/>
        <w:jc w:val="center"/>
        <w:rPr>
          <w:rFonts w:ascii="Times New Roman" w:hAnsi="Times New Roman" w:eastAsia="仿宋_GB2312" w:cs="仿宋"/>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0288" behindDoc="0" locked="0" layoutInCell="1" allowOverlap="1">
                <wp:simplePos x="0" y="0"/>
                <wp:positionH relativeFrom="column">
                  <wp:posOffset>29210</wp:posOffset>
                </wp:positionH>
                <wp:positionV relativeFrom="paragraph">
                  <wp:posOffset>-16510</wp:posOffset>
                </wp:positionV>
                <wp:extent cx="5550535" cy="635"/>
                <wp:effectExtent l="0" t="0" r="31115" b="37465"/>
                <wp:wrapNone/>
                <wp:docPr id="24" name="直接连接符 24"/>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3pt;margin-top:-1.3pt;height:0.05pt;width:437.05pt;z-index:251660288;mso-width-relative:page;mso-height-relative:page;" filled="f" stroked="t" coordsize="21600,21600" o:gfxdata="UEsDBAoAAAAAAIdO4kAAAAAAAAAAAAAAAAAEAAAAZHJzL1BLAwQUAAAACACHTuJARk3ENdYAAAAH&#10;AQAADwAAAGRycy9kb3ducmV2LnhtbE2OzWrDMBCE74W+g9hCb4mckMbG9TqUQKGXpiTpAyjWxja1&#10;VsZSfpyn7+bUnoadGWa/YnV1nTrTEFrPCLNpAoq48rblGuF7/z7JQIVo2JrOMyGMFGBVPj4UJrf+&#10;wls672KtZIRDbhCaGPtc61A15EyY+p5YsqMfnIlyDrW2g7nIuOv0PEmW2pmW5UNjelo3VP3sTg5h&#10;u/ab9K1ffH1s4ucxvd1GquoR8flplryCinSNf2W44ws6lMJ08Ce2QXUIi6UUESZzUYmzNEtBHe7G&#10;C+iy0P/5y19QSwMEFAAAAAgAh07iQEl1PoPTAQAAjwMAAA4AAABkcnMvZTJvRG9jLnhtbK1TzY7T&#10;MBC+I/EOlu802UKWVdR0D1uWC4JKwANMbSex5D95TNO+BC+AxA1OHLnzNiyPwdgt3V24IEQOk/HM&#10;N+P5vkwWlztr2FZF1N51/GxWc6ac8FK7oeNv31w/uuAMEzgJxjvV8b1Cfrl8+GAxhVbN/eiNVJFR&#10;E4ftFDo+phTaqkIxKgs480E5SvY+Wkh0jEMlI0zU3ZpqXtfn1eSjDNELhUjR1SHJl6V/3yuRXvU9&#10;qsRMx2m2VGwsdpNttVxAO0QIoxbHMeAfprCgHV16arWCBOxd1H+0slpEj75PM+Ft5fteC1U4EJuz&#10;+jc2r0cIqnAhcTCcZML/11a83K4j07Lj8yecObD0jW4+fP3+/tOPbx/J3nz5zChDMk0BW0JfuXU8&#10;njCsY+a866PNb2LDdkXa/UlatUtMULBpmrp53HAmKHdODvWobktDxPRcecuy03GjXeYNLWxfYDpA&#10;f0Fy2Dg20bY1F09zR6C96Q0kcm0gJuiGUozeaHmtjcklGIfNlYlsC3kTynOc4R4s37ICHA+4ksow&#10;aEcF8pmTLO0DSeRomXmewSrJmVG0+9kryATa/A2S6BtHKmRhD1Jmb+Plvihc4vTVi07HDc1rdfdc&#10;qm//o+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Rk3ENdYAAAAHAQAADwAAAAAAAAABACAAAAAi&#10;AAAAZHJzL2Rvd25yZXYueG1sUEsBAhQAFAAAAAgAh07iQEl1PoPTAQAAjwMAAA4AAAAAAAAAAQAg&#10;AAAAJQEAAGRycy9lMm9Eb2MueG1sUEsFBgAAAAAGAAYAWQEAAGo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27" name="直接连接符 27"/>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FvC8a1gEAAI0DAAAOAAAAZHJzL2Uyb0RvYy54bWytU0uO&#10;EzEQ3SNxB8t70kmjSaCVziwmDBsEkYADVGx3tyX/cJl0cgkugMQOVizZz20YjkHZCRk+G4TIolKu&#10;Kr+q91y9vNxbw3Yqovau5bPJlDPlhJfa9S1//er6wSPOMIGTYLxTLT8o5Jer+/eWY2hU7QdvpIqM&#10;QBw2Y2j5kFJoqgrFoCzgxAflKNn5aCHRMfaVjDASujVVPZ3Oq9FHGaIXCpGi62OSrwp+1ymRXnQd&#10;qsRMy2m2VGwsdptttVpC00cIgxanMeAfprCgHTU9Q60hAXsb9R9QVovo0XdpIrytfNdpoQoHYjOb&#10;/sbm5QBBFS4kDoazTPj/YMXz3SYyLVteLzhzYOmNbt9/+fru47ebD2RvP39ilCGZxoANVV+5TTyd&#10;MGxi5rzvos3/xIbti7SHs7Rqn5ig4MViXs/rC84E5Wb1oihf3d0NEdNT5S3LTsuNdpk4NLB7hon6&#10;UemPkhw2jo0tf/xwTm8qgPYG35BjA/FA15eb6I2W19qYXI+x316ZyHaQ96D8MidC/aUst1gDDse6&#10;kjpuyKBAPnGSpUMggRytMs8DWCU5M4o2P3sECE0Cbf6mklobRxNkWY9CZm/r5aHoW+L05mXG037m&#10;pfr5XG7ffUWr7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vv85HXAAAACgEAAA8AAAAAAAAAAQAg&#10;AAAAIgAAAGRycy9kb3ducmV2LnhtbFBLAQIUABQAAAAIAIdO4kDFvC8a1gEAAI0DAAAOAAAAAAAA&#10;AAEAIAAAACYBAABkcnMvZTJvRG9jLnhtbFBLBQYAAAAABgAGAFkBAABu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二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一 </w:t>
      </w:r>
      <w:r>
        <w:rPr>
          <w:rFonts w:hint="eastAsia" w:ascii="Times New Roman" w:hAnsi="Times New Roman" w:eastAsia="仿宋_GB2312" w:cs="仿宋"/>
          <w:color w:val="000000"/>
          <w:sz w:val="32"/>
          <w:szCs w:val="32"/>
        </w:rPr>
        <w:t>份送达，一份归档</w:t>
      </w:r>
    </w:p>
    <w:sectPr>
      <w:headerReference r:id="rId5" w:type="first"/>
      <w:footerReference r:id="rId8" w:type="first"/>
      <w:headerReference r:id="rId3" w:type="default"/>
      <w:footerReference r:id="rId6" w:type="default"/>
      <w:headerReference r:id="rId4" w:type="even"/>
      <w:footerReference r:id="rId7" w:type="even"/>
      <w:pgSz w:w="12240" w:h="15840"/>
      <w:pgMar w:top="1440" w:right="1559" w:bottom="1440" w:left="1559"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eastAsia="宋体"/>
        <w:sz w:val="28"/>
      </w:rPr>
    </w:pPr>
    <w:r>
      <w:rPr>
        <w:rFonts w:ascii="宋体" w:hAnsi="宋体" w:eastAsia="宋体"/>
        <w:sz w:val="28"/>
      </w:rPr>
      <w:t xml:space="preserve">第 </w:t>
    </w:r>
    <w:r>
      <w:rPr>
        <w:rFonts w:ascii="宋体" w:hAnsi="宋体" w:eastAsia="宋体"/>
        <w:sz w:val="28"/>
      </w:rPr>
      <w:fldChar w:fldCharType="begin"/>
    </w:r>
    <w:r>
      <w:rPr>
        <w:rFonts w:ascii="宋体" w:hAnsi="宋体" w:eastAsia="宋体"/>
        <w:sz w:val="28"/>
      </w:rPr>
      <w:instrText xml:space="preserve"> page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 xml:space="preserve"> 页 共 </w:t>
    </w:r>
    <w:r>
      <w:rPr>
        <w:rFonts w:ascii="宋体" w:hAnsi="宋体" w:eastAsia="宋体"/>
        <w:sz w:val="28"/>
      </w:rPr>
      <w:fldChar w:fldCharType="begin"/>
    </w:r>
    <w:r>
      <w:rPr>
        <w:rFonts w:ascii="宋体" w:hAnsi="宋体" w:eastAsia="宋体"/>
        <w:sz w:val="28"/>
      </w:rPr>
      <w:instrText xml:space="preserve"> Numpages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27A"/>
    <w:rsid w:val="00005F38"/>
    <w:rsid w:val="0012388D"/>
    <w:rsid w:val="001711CB"/>
    <w:rsid w:val="00410321"/>
    <w:rsid w:val="00423F69"/>
    <w:rsid w:val="00430341"/>
    <w:rsid w:val="00484CFD"/>
    <w:rsid w:val="004D59BB"/>
    <w:rsid w:val="0059123F"/>
    <w:rsid w:val="00793F40"/>
    <w:rsid w:val="00840958"/>
    <w:rsid w:val="008B1192"/>
    <w:rsid w:val="00972237"/>
    <w:rsid w:val="00A13537"/>
    <w:rsid w:val="00C605F7"/>
    <w:rsid w:val="00C75629"/>
    <w:rsid w:val="00CA11AE"/>
    <w:rsid w:val="00CE18F4"/>
    <w:rsid w:val="00D465AF"/>
    <w:rsid w:val="00DC227A"/>
    <w:rsid w:val="00E060D1"/>
    <w:rsid w:val="00E23D17"/>
    <w:rsid w:val="690D2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footer"/>
    <w:basedOn w:val="1"/>
    <w:link w:val="8"/>
    <w:unhideWhenUsed/>
    <w:qFormat/>
    <w:uiPriority w:val="99"/>
    <w:pPr>
      <w:widowControl/>
      <w:tabs>
        <w:tab w:val="center" w:pos="4320"/>
        <w:tab w:val="right" w:pos="8640"/>
      </w:tabs>
      <w:snapToGrid w:val="0"/>
      <w:spacing w:after="160"/>
      <w:jc w:val="left"/>
    </w:pPr>
    <w:rPr>
      <w:rFonts w:asciiTheme="minorHAnsi" w:hAnsiTheme="minorHAnsi" w:eastAsiaTheme="minorEastAsia" w:cstheme="minorBidi"/>
      <w:kern w:val="0"/>
      <w:sz w:val="18"/>
      <w:szCs w:val="18"/>
    </w:rPr>
  </w:style>
  <w:style w:type="paragraph" w:styleId="4">
    <w:name w:val="header"/>
    <w:basedOn w:val="1"/>
    <w:link w:val="7"/>
    <w:unhideWhenUsed/>
    <w:qFormat/>
    <w:uiPriority w:val="99"/>
    <w:pPr>
      <w:widowControl/>
      <w:tabs>
        <w:tab w:val="center" w:pos="4320"/>
        <w:tab w:val="right" w:pos="8640"/>
      </w:tabs>
      <w:snapToGrid w:val="0"/>
      <w:spacing w:after="160"/>
      <w:jc w:val="center"/>
    </w:pPr>
    <w:rPr>
      <w:rFonts w:asciiTheme="minorHAnsi" w:hAnsiTheme="minorHAnsi" w:eastAsiaTheme="minorEastAsia" w:cstheme="minorBidi"/>
      <w:kern w:val="0"/>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日期 字符"/>
    <w:basedOn w:val="6"/>
    <w:link w:val="2"/>
    <w:semiHidden/>
    <w:uiPriority w:val="99"/>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367</Words>
  <Characters>2096</Characters>
  <Lines>17</Lines>
  <Paragraphs>4</Paragraphs>
  <TotalTime>0</TotalTime>
  <ScaleCrop>false</ScaleCrop>
  <LinksUpToDate>false</LinksUpToDate>
  <CharactersWithSpaces>2459</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2020-11-20T06:15:00Z</dcterms:created>
  <dc:creator>Zhu Guanwei</dc:creator>
  <cp:lastModifiedBy>Administrator</cp:lastModifiedBy>
  <cp:lastPrinted>2020-11-20T07:03:00Z</cp:lastPrinted>
  <dcterms:modified xsi:type="dcterms:W3CDTF">2021-01-25T02:42:28Z</dcterms:modified>
  <dc:title>惠州大亚湾经济技术开发区市场监督管理局</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