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ascii="Times New Roman" w:hAnsi="Times New Roman" w:eastAsia="方正小标宋简体" w:cs="方正小标宋简体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Cs/>
          <w:color w:val="000000"/>
          <w:sz w:val="44"/>
          <w:szCs w:val="44"/>
        </w:rPr>
        <w:t>惠州大亚湾经济技术开发区市场监督管理局</w:t>
      </w:r>
    </w:p>
    <w:p>
      <w:pPr>
        <w:spacing w:line="640" w:lineRule="exact"/>
        <w:jc w:val="center"/>
        <w:rPr>
          <w:rFonts w:ascii="Times New Roman" w:hAnsi="Times New Roman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Cs/>
          <w:color w:val="000000"/>
          <w:sz w:val="44"/>
          <w:szCs w:val="44"/>
        </w:rPr>
        <w:t>行政处罚决定书</w:t>
      </w:r>
    </w:p>
    <w:p>
      <w:pPr>
        <w:snapToGrid w:val="0"/>
        <w:spacing w:line="300" w:lineRule="auto"/>
        <w:jc w:val="center"/>
        <w:rPr>
          <w:rFonts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25400</wp:posOffset>
                </wp:positionH>
                <wp:positionV relativeFrom="paragraph">
                  <wp:posOffset>20802600</wp:posOffset>
                </wp:positionV>
                <wp:extent cx="5761990" cy="1270"/>
                <wp:effectExtent l="9525" t="9525" r="19685" b="17780"/>
                <wp:wrapNone/>
                <wp:docPr id="10" name="直接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1990" cy="1270"/>
                        </a:xfrm>
                        <a:prstGeom prst="straightConnector1">
                          <a:avLst/>
                        </a:prstGeom>
                        <a:ln w="19050" cap="sq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pt;margin-top:1638pt;height:0.1pt;width:453.7pt;z-index:251659264;mso-width-relative:page;mso-height-relative:page;" filled="f" stroked="t" coordsize="21600,21600" o:gfxdata="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IteKJra&#10;AAAACwEAAA8AAAAAAAAAAQAgAAAAIgAAAGRycy9kb3ducmV2LnhtbFBLAQIUABQAAAAIAIdO4kDj&#10;x/DE5QEAAKIDAAAOAAAAAAAAAAEAIAAAACkBAABkcnMvZTJvRG9jLnhtbFBLBQYAAAAABgAGAFkB&#10;AACABQAAAAA=&#10;">
                <v:fill on="f" focussize="0,0"/>
                <v:stroke weight="1.5pt" color="#000000" joinstyle="round" endcap="square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>惠湾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市监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>西处字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〔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>202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val="en-US" w:eastAsia="zh-CN"/>
        </w:rPr>
        <w:t>1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〕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val="en-US" w:eastAsia="zh-CN"/>
        </w:rPr>
        <w:t>5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号</w:t>
      </w:r>
    </w:p>
    <w:p>
      <w:pPr>
        <w:snapToGrid w:val="0"/>
        <w:spacing w:line="300" w:lineRule="auto"/>
        <w:rPr>
          <w:rFonts w:ascii="Times New Roman" w:hAnsi="Times New Roman" w:eastAsia="仿宋_GB2312" w:cs="Mongolian Baiti"/>
          <w:sz w:val="32"/>
          <w:szCs w:val="32"/>
        </w:rPr>
      </w:pPr>
      <w:r>
        <w:rPr>
          <w:rFonts w:hint="eastAsia" w:ascii="Times New Roman" w:hAnsi="Times New Roman" w:eastAsia="仿宋_GB2312" w:cs="微软雅黑"/>
          <w:kern w:val="1"/>
          <w:sz w:val="32"/>
          <w:szCs w:val="32"/>
        </w:rPr>
        <w:t>当事人</w:t>
      </w:r>
      <w:r>
        <w:rPr>
          <w:rFonts w:hint="eastAsia" w:ascii="Times New Roman" w:hAnsi="Times New Roman" w:eastAsia="仿宋_GB2312" w:cs="Mongolian Baiti"/>
          <w:kern w:val="1"/>
          <w:sz w:val="32"/>
          <w:szCs w:val="32"/>
        </w:rPr>
        <w:t>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>上海良育投资管理有限公司</w:t>
      </w:r>
      <w:r>
        <w:rPr>
          <w:rFonts w:ascii="仿宋" w:hAnsi="仿宋" w:eastAsia="仿宋" w:cs="仿宋_GB2312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Mongolian Baiti"/>
          <w:kern w:val="1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300" w:lineRule="auto"/>
        <w:ind w:left="140" w:hanging="140"/>
        <w:rPr>
          <w:rFonts w:hint="eastAsia" w:ascii="Times New Roman" w:hAnsi="Times New Roman" w:eastAsia="仿宋_GB2312" w:cs="Mongolian Baiti"/>
          <w:kern w:val="1"/>
          <w:sz w:val="32"/>
          <w:szCs w:val="32"/>
          <w:u w:val="single"/>
        </w:rPr>
      </w:pPr>
      <w:r>
        <w:rPr>
          <w:rFonts w:hint="eastAsia" w:ascii="Times New Roman" w:hAnsi="Times New Roman" w:eastAsia="仿宋_GB2312" w:cs="Mongolian Baiti"/>
          <w:kern w:val="1"/>
          <w:sz w:val="32"/>
          <w:szCs w:val="32"/>
        </w:rPr>
        <w:t>主体资格证照名称：</w:t>
      </w:r>
      <w:r>
        <w:rPr>
          <w:rFonts w:hint="eastAsia" w:ascii="Times New Roman" w:hAnsi="Times New Roman" w:eastAsia="仿宋_GB2312" w:cs="Mongolian Baiti"/>
          <w:kern w:val="1"/>
          <w:sz w:val="32"/>
          <w:szCs w:val="32"/>
          <w:u w:val="single"/>
          <w:lang w:val="en-US" w:eastAsia="zh-CN"/>
        </w:rPr>
        <w:t>营业执照</w:t>
      </w:r>
      <w:r>
        <w:rPr>
          <w:rFonts w:hint="eastAsia" w:ascii="Times New Roman" w:hAnsi="Times New Roman" w:eastAsia="仿宋_GB2312" w:cs="Mongolian Baiti"/>
          <w:kern w:val="1"/>
          <w:sz w:val="32"/>
          <w:szCs w:val="32"/>
          <w:u w:val="single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40" w:hanging="140"/>
        <w:textAlignment w:val="auto"/>
        <w:rPr>
          <w:rFonts w:hint="eastAsia" w:ascii="仿宋" w:hAnsi="仿宋" w:eastAsia="仿宋" w:cs="仿宋"/>
          <w:color w:val="auto"/>
          <w:kern w:val="1"/>
          <w:sz w:val="32"/>
          <w:szCs w:val="32"/>
          <w:u w:val="single"/>
        </w:rPr>
      </w:pPr>
      <w:r>
        <w:rPr>
          <w:rFonts w:hint="eastAsia" w:ascii="仿宋" w:hAnsi="仿宋" w:eastAsia="仿宋" w:cs="仿宋"/>
          <w:kern w:val="1"/>
          <w:sz w:val="32"/>
          <w:szCs w:val="32"/>
        </w:rPr>
        <w:t>统一社会信用代码（注册号）：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>91310114585257548A</w:t>
      </w:r>
      <w:r>
        <w:rPr>
          <w:rFonts w:hint="eastAsia" w:ascii="仿宋" w:hAnsi="仿宋" w:eastAsia="仿宋" w:cs="仿宋"/>
          <w:color w:val="auto"/>
          <w:kern w:val="1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color w:val="auto"/>
          <w:kern w:val="1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kern w:val="1"/>
          <w:sz w:val="32"/>
          <w:szCs w:val="32"/>
          <w:u w:val="singl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40" w:hanging="140"/>
        <w:textAlignment w:val="auto"/>
        <w:rPr>
          <w:rFonts w:hint="eastAsia" w:ascii="仿宋" w:hAnsi="仿宋" w:eastAsia="仿宋" w:cs="仿宋"/>
          <w:kern w:val="1"/>
          <w:sz w:val="32"/>
          <w:szCs w:val="32"/>
          <w:u w:val="single"/>
        </w:rPr>
      </w:pPr>
      <w:r>
        <w:rPr>
          <w:rFonts w:hint="eastAsia" w:ascii="仿宋" w:hAnsi="仿宋" w:eastAsia="仿宋" w:cs="仿宋"/>
          <w:kern w:val="1"/>
          <w:sz w:val="32"/>
          <w:szCs w:val="32"/>
        </w:rPr>
        <w:t>法定代表人（负责人、经营者）：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 xml:space="preserve">李琼      </w:t>
      </w:r>
      <w:r>
        <w:rPr>
          <w:rFonts w:hint="eastAsia" w:ascii="仿宋" w:hAnsi="仿宋" w:eastAsia="仿宋" w:cs="仿宋"/>
          <w:kern w:val="1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仿宋"/>
          <w:kern w:val="1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1"/>
          <w:sz w:val="32"/>
          <w:szCs w:val="32"/>
          <w:u w:val="single"/>
        </w:rPr>
        <w:t xml:space="preserve">         </w:t>
      </w:r>
    </w:p>
    <w:p>
      <w:pPr>
        <w:snapToGrid w:val="0"/>
        <w:spacing w:line="300" w:lineRule="auto"/>
        <w:ind w:left="140" w:hanging="140"/>
        <w:rPr>
          <w:rFonts w:ascii="Times New Roman" w:hAnsi="Times New Roman" w:eastAsia="仿宋_GB2312" w:cs="Mongolian Baiti"/>
          <w:kern w:val="1"/>
          <w:sz w:val="32"/>
          <w:szCs w:val="32"/>
          <w:u w:val="single"/>
        </w:rPr>
      </w:pPr>
      <w:bookmarkStart w:id="2" w:name="_GoBack"/>
      <w:bookmarkEnd w:id="2"/>
      <w:r>
        <w:rPr>
          <w:rFonts w:hint="eastAsia" w:ascii="Times New Roman" w:hAnsi="Times New Roman" w:eastAsia="仿宋_GB2312" w:cs="Mongolian Baiti"/>
          <w:kern w:val="1"/>
          <w:sz w:val="32"/>
          <w:szCs w:val="32"/>
        </w:rPr>
        <w:t>联系地址：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eastAsia="zh-CN"/>
        </w:rPr>
        <w:t>惠州大亚湾西区西南大道88号龙光城北区</w:t>
      </w:r>
      <w:r>
        <w:rPr>
          <w:rFonts w:hint="eastAsia" w:ascii="仿宋" w:hAnsi="仿宋" w:eastAsia="仿宋" w:cs="仿宋_GB2312"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Mongolian Baiti"/>
          <w:kern w:val="1"/>
          <w:sz w:val="32"/>
          <w:szCs w:val="32"/>
          <w:u w:val="single"/>
        </w:rPr>
        <w:t xml:space="preserve">   </w:t>
      </w:r>
      <w:r>
        <w:rPr>
          <w:rFonts w:hint="eastAsia" w:ascii="Times New Roman" w:hAnsi="Times New Roman" w:eastAsia="仿宋_GB2312" w:cs="Mongolian Baiti"/>
          <w:kern w:val="1"/>
          <w:sz w:val="32"/>
          <w:szCs w:val="32"/>
          <w:u w:val="single"/>
          <w:lang w:val="en-US" w:eastAsia="zh-CN"/>
        </w:rPr>
        <w:t xml:space="preserve">                                   </w:t>
      </w:r>
      <w:r>
        <w:rPr>
          <w:rFonts w:hint="eastAsia" w:ascii="Times New Roman" w:hAnsi="Times New Roman" w:eastAsia="仿宋_GB2312" w:cs="Mongolian Baiti"/>
          <w:kern w:val="1"/>
          <w:sz w:val="32"/>
          <w:szCs w:val="32"/>
          <w:u w:val="single"/>
        </w:rPr>
        <w:t xml:space="preserve">    </w:t>
      </w:r>
    </w:p>
    <w:p>
      <w:pPr>
        <w:snapToGrid w:val="0"/>
        <w:spacing w:line="300" w:lineRule="auto"/>
        <w:rPr>
          <w:rFonts w:ascii="Times New Roman" w:hAnsi="Times New Roman" w:eastAsia="仿宋_GB2312" w:cs="仿宋"/>
          <w:bCs/>
          <w:color w:val="000000"/>
          <w:sz w:val="32"/>
          <w:szCs w:val="32"/>
          <w:u w:val="single"/>
        </w:rPr>
      </w:pPr>
      <w:bookmarkStart w:id="0" w:name="_Hlk33261524"/>
      <w:bookmarkStart w:id="1" w:name="_Hlk33263422"/>
      <w:r>
        <w:rPr>
          <w:rFonts w:ascii="仿宋" w:hAnsi="仿宋" w:eastAsia="仿宋" w:cs="仿宋_GB2312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_GB2312"/>
          <w:sz w:val="32"/>
          <w:szCs w:val="32"/>
          <w:u w:val="single"/>
          <w:lang w:val="en-US" w:eastAsia="zh-CN"/>
        </w:rPr>
        <w:t xml:space="preserve"> 2020年12月7日，我局西区市场监督管理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>所执法人员对位于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eastAsia="zh-CN"/>
        </w:rPr>
        <w:t>惠州市大亚湾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>西区西南大道88号龙光城北区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>的“吉的堡幼儿园”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eastAsia="zh-CN"/>
        </w:rPr>
        <w:t>依法进行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>现场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eastAsia="zh-CN"/>
        </w:rPr>
        <w:t>检查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>，现场检查时该幼儿园正常经营，处于开园放学状态，当事人现场提供了营业执</w:t>
      </w:r>
      <w:r>
        <w:rPr>
          <w:rFonts w:hint="eastAsia" w:ascii="仿宋" w:hAnsi="仿宋" w:eastAsia="仿宋" w:cs="仿宋_GB2312"/>
          <w:sz w:val="32"/>
          <w:szCs w:val="32"/>
          <w:u w:val="single"/>
          <w:lang w:val="en-US" w:eastAsia="zh-CN"/>
        </w:rPr>
        <w:t>照（名称：上海良育投资管理有限公司 ；统一社会信用代码 ：91310114585257548A；法定代表人：李琼；住所：嘉定区南翔镇薀北公路1755弄3号3106室），未提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>供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eastAsia="zh-CN"/>
        </w:rPr>
        <w:t>食品经营许可证，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  <w:t>经初步调查，当事人涉嫌在大亚湾未经许可从事餐饮服务的行为，违反了《中华人民共和国食品安全法》第三十五条第一款的规定。我局于当日对当事人立案调查，对其用于违法经营的工具实施了扣押的行政强制措施（详见《财物清单》</w:t>
      </w:r>
      <w:r>
        <w:rPr>
          <w:rFonts w:hint="eastAsia" w:ascii="仿宋" w:hAnsi="仿宋" w:eastAsia="仿宋"/>
          <w:spacing w:val="-4"/>
          <w:sz w:val="32"/>
          <w:szCs w:val="32"/>
          <w:u w:val="single"/>
        </w:rPr>
        <w:t>第</w:t>
      </w:r>
      <w:r>
        <w:rPr>
          <w:rFonts w:hint="eastAsia" w:eastAsia="仿宋_GB2312" w:cs="仿宋_GB2312"/>
          <w:sz w:val="32"/>
          <w:szCs w:val="32"/>
          <w:u w:val="single"/>
          <w:lang w:val="en-US" w:eastAsia="zh-CN"/>
        </w:rPr>
        <w:t>171</w:t>
      </w:r>
      <w:r>
        <w:rPr>
          <w:rFonts w:hint="eastAsia" w:ascii="仿宋" w:hAnsi="仿宋" w:eastAsia="仿宋"/>
          <w:spacing w:val="-4"/>
          <w:sz w:val="32"/>
          <w:szCs w:val="32"/>
          <w:u w:val="single"/>
        </w:rPr>
        <w:t>号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  <w:t xml:space="preserve">），并现场责令当事人立即停止违法经营行为。    </w:t>
      </w:r>
      <w:r>
        <w:rPr>
          <w:rFonts w:ascii="仿宋" w:hAnsi="仿宋" w:eastAsia="仿宋" w:cs="仿宋_GB2312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ascii="仿宋" w:hAnsi="仿宋" w:eastAsia="仿宋" w:cs="仿宋_GB2312"/>
          <w:sz w:val="32"/>
          <w:szCs w:val="32"/>
          <w:u w:val="single"/>
        </w:rPr>
        <w:t xml:space="preserve"> </w:t>
      </w:r>
      <w:bookmarkEnd w:id="0"/>
      <w:bookmarkEnd w:id="1"/>
      <w:r>
        <w:rPr>
          <w:rFonts w:ascii="Times New Roman" w:hAnsi="Times New Roman" w:eastAsia="仿宋_GB2312" w:cs="仿宋"/>
          <w:bCs/>
          <w:color w:val="000000"/>
          <w:sz w:val="32"/>
          <w:szCs w:val="32"/>
          <w:u w:val="single"/>
        </w:rPr>
        <w:t xml:space="preserve">                         </w:t>
      </w:r>
    </w:p>
    <w:p>
      <w:pPr>
        <w:snapToGrid w:val="0"/>
        <w:spacing w:line="300" w:lineRule="auto"/>
        <w:rPr>
          <w:rFonts w:ascii="Times New Roman" w:hAnsi="Times New Roman" w:eastAsia="仿宋_GB2312" w:cs="仿宋"/>
          <w:bCs/>
          <w:color w:val="000000"/>
          <w:sz w:val="32"/>
          <w:szCs w:val="32"/>
          <w:u w:val="single"/>
        </w:rPr>
      </w:pP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>经查实，当事人于20</w:t>
      </w:r>
      <w:r>
        <w:rPr>
          <w:rFonts w:hint="eastAsia" w:ascii="仿宋" w:hAnsi="仿宋" w:eastAsia="仿宋" w:cs="仿宋_GB2312"/>
          <w:sz w:val="32"/>
          <w:szCs w:val="32"/>
          <w:u w:val="single"/>
          <w:lang w:val="en-US" w:eastAsia="zh-CN"/>
        </w:rPr>
        <w:t>20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>年</w:t>
      </w:r>
      <w:r>
        <w:rPr>
          <w:rFonts w:hint="eastAsia" w:ascii="仿宋" w:hAnsi="仿宋" w:eastAsia="仿宋" w:cs="仿宋_GB2312"/>
          <w:sz w:val="32"/>
          <w:szCs w:val="32"/>
          <w:u w:val="single"/>
          <w:lang w:val="en-US" w:eastAsia="zh-CN"/>
        </w:rPr>
        <w:t>9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>月起，在</w:t>
      </w:r>
      <w:r>
        <w:rPr>
          <w:rFonts w:hint="eastAsia" w:ascii="仿宋" w:hAnsi="仿宋" w:eastAsia="仿宋" w:cs="仿宋_GB2312"/>
          <w:sz w:val="32"/>
          <w:szCs w:val="32"/>
          <w:u w:val="single"/>
          <w:lang w:val="en-US" w:eastAsia="zh-CN"/>
        </w:rPr>
        <w:t>未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>办理食品经营许可证的情况下，擅自在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eastAsia="zh-CN"/>
        </w:rPr>
        <w:t>惠州市大亚湾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>西区西南大道88号龙光城北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>区经营幼儿园，提供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>餐饮服务</w:t>
      </w:r>
      <w:r>
        <w:rPr>
          <w:rFonts w:hint="eastAsia" w:ascii="仿宋" w:hAnsi="仿宋" w:eastAsia="仿宋" w:cs="仿宋_GB2312"/>
          <w:sz w:val="32"/>
          <w:szCs w:val="32"/>
          <w:u w:val="single"/>
          <w:lang w:eastAsia="zh-CN"/>
        </w:rPr>
        <w:t>。</w:t>
      </w:r>
      <w:r>
        <w:rPr>
          <w:rFonts w:hint="eastAsia" w:eastAsia="仿宋_GB2312" w:cs="仿宋_GB2312"/>
          <w:sz w:val="32"/>
          <w:szCs w:val="32"/>
          <w:u w:val="single"/>
        </w:rPr>
        <w:t>在本案的调查过程中，执法人员</w:t>
      </w:r>
      <w:r>
        <w:rPr>
          <w:rFonts w:hint="eastAsia" w:eastAsia="仿宋_GB2312" w:cs="仿宋_GB2312"/>
          <w:sz w:val="32"/>
          <w:szCs w:val="32"/>
          <w:u w:val="single"/>
          <w:lang w:eastAsia="zh-CN"/>
        </w:rPr>
        <w:t>在</w:t>
      </w:r>
      <w:r>
        <w:rPr>
          <w:rFonts w:hint="eastAsia" w:eastAsia="仿宋_GB2312" w:cs="仿宋_GB2312"/>
          <w:sz w:val="32"/>
          <w:szCs w:val="32"/>
          <w:u w:val="single"/>
        </w:rPr>
        <w:t>现场发现</w:t>
      </w:r>
      <w:r>
        <w:rPr>
          <w:rFonts w:hint="eastAsia" w:eastAsia="仿宋_GB2312" w:cs="仿宋_GB2312"/>
          <w:sz w:val="32"/>
          <w:szCs w:val="32"/>
          <w:u w:val="single"/>
          <w:lang w:eastAsia="zh-CN"/>
        </w:rPr>
        <w:t>了部分食品原料的进货票据，未发现其他</w:t>
      </w:r>
      <w:r>
        <w:rPr>
          <w:rFonts w:hint="eastAsia" w:eastAsia="仿宋_GB2312" w:cs="仿宋_GB2312"/>
          <w:sz w:val="32"/>
          <w:szCs w:val="32"/>
          <w:u w:val="single"/>
        </w:rPr>
        <w:t>经营相关票据，因当事人没</w:t>
      </w:r>
      <w:r>
        <w:rPr>
          <w:rFonts w:hint="eastAsia" w:eastAsia="仿宋_GB2312" w:cs="仿宋_GB2312"/>
          <w:sz w:val="32"/>
          <w:szCs w:val="32"/>
          <w:u w:val="single"/>
          <w:lang w:eastAsia="zh-CN"/>
        </w:rPr>
        <w:t>有</w:t>
      </w:r>
      <w:r>
        <w:rPr>
          <w:rFonts w:hint="eastAsia" w:eastAsia="仿宋_GB2312" w:cs="仿宋_GB2312"/>
          <w:sz w:val="32"/>
          <w:szCs w:val="32"/>
          <w:u w:val="single"/>
        </w:rPr>
        <w:t>建立账本账册，无法收集到当事人违法所得的</w:t>
      </w:r>
      <w:r>
        <w:rPr>
          <w:rFonts w:hint="eastAsia" w:eastAsia="仿宋_GB2312" w:cs="仿宋_GB2312"/>
          <w:sz w:val="32"/>
          <w:szCs w:val="32"/>
          <w:u w:val="single"/>
          <w:lang w:eastAsia="zh-CN"/>
        </w:rPr>
        <w:t>其他</w:t>
      </w:r>
      <w:r>
        <w:rPr>
          <w:rFonts w:hint="eastAsia" w:eastAsia="仿宋_GB2312" w:cs="仿宋_GB2312"/>
          <w:sz w:val="32"/>
          <w:szCs w:val="32"/>
          <w:u w:val="single"/>
        </w:rPr>
        <w:t>相关明细账册及单据，故无法计算违法所得。结合《财物清单》</w:t>
      </w:r>
      <w:r>
        <w:rPr>
          <w:rFonts w:hint="eastAsia" w:ascii="仿宋" w:hAnsi="仿宋" w:eastAsia="仿宋"/>
          <w:spacing w:val="-4"/>
          <w:sz w:val="32"/>
          <w:szCs w:val="32"/>
          <w:u w:val="single"/>
        </w:rPr>
        <w:t>第</w:t>
      </w:r>
      <w:r>
        <w:rPr>
          <w:rFonts w:hint="eastAsia" w:eastAsia="仿宋_GB2312" w:cs="仿宋_GB2312"/>
          <w:sz w:val="32"/>
          <w:szCs w:val="32"/>
          <w:u w:val="single"/>
          <w:lang w:val="en-US" w:eastAsia="zh-CN"/>
        </w:rPr>
        <w:t>171</w:t>
      </w:r>
      <w:r>
        <w:rPr>
          <w:rFonts w:hint="eastAsia" w:ascii="仿宋" w:hAnsi="仿宋" w:eastAsia="仿宋"/>
          <w:spacing w:val="-4"/>
          <w:sz w:val="32"/>
          <w:szCs w:val="32"/>
          <w:u w:val="single"/>
        </w:rPr>
        <w:t>号</w:t>
      </w:r>
      <w:r>
        <w:rPr>
          <w:rFonts w:hint="eastAsia" w:eastAsia="仿宋_GB2312" w:cs="仿宋_GB2312"/>
          <w:sz w:val="32"/>
          <w:szCs w:val="32"/>
          <w:u w:val="single"/>
          <w:lang w:eastAsia="zh-CN"/>
        </w:rPr>
        <w:t>、</w:t>
      </w:r>
      <w:r>
        <w:rPr>
          <w:rFonts w:hint="eastAsia" w:eastAsia="仿宋_GB2312" w:cs="仿宋_GB2312"/>
          <w:sz w:val="32"/>
          <w:szCs w:val="32"/>
          <w:u w:val="single"/>
          <w:lang w:val="en-US" w:eastAsia="zh-CN"/>
        </w:rPr>
        <w:t>现场收集的部分食品台账及</w:t>
      </w:r>
      <w:r>
        <w:rPr>
          <w:rFonts w:hint="eastAsia" w:eastAsia="仿宋_GB2312" w:cs="仿宋_GB2312"/>
          <w:sz w:val="32"/>
          <w:szCs w:val="32"/>
          <w:u w:val="single"/>
        </w:rPr>
        <w:t>当事人陈述，该案能认定的货值金额为</w:t>
      </w:r>
      <w:r>
        <w:rPr>
          <w:rFonts w:hint="eastAsia" w:eastAsia="仿宋_GB2312" w:cs="仿宋_GB2312"/>
          <w:sz w:val="32"/>
          <w:szCs w:val="32"/>
          <w:u w:val="single"/>
          <w:lang w:val="en-US" w:eastAsia="zh-CN"/>
        </w:rPr>
        <w:t>2817.17</w:t>
      </w:r>
      <w:r>
        <w:rPr>
          <w:rFonts w:hint="eastAsia" w:eastAsia="仿宋_GB2312" w:cs="仿宋_GB2312"/>
          <w:sz w:val="32"/>
          <w:szCs w:val="32"/>
          <w:u w:val="single"/>
        </w:rPr>
        <w:t>元</w:t>
      </w:r>
      <w:r>
        <w:rPr>
          <w:rFonts w:hint="eastAsia" w:eastAsia="仿宋_GB2312" w:cs="仿宋_GB2312"/>
          <w:sz w:val="32"/>
          <w:szCs w:val="32"/>
          <w:u w:val="single"/>
          <w:lang w:eastAsia="zh-CN"/>
        </w:rPr>
        <w:t>。</w:t>
      </w:r>
      <w:r>
        <w:rPr>
          <w:rFonts w:hint="eastAsia" w:ascii="仿宋" w:hAnsi="仿宋" w:eastAsia="仿宋" w:cs="仿宋_GB2312"/>
          <w:sz w:val="32"/>
          <w:szCs w:val="32"/>
          <w:u w:val="single"/>
          <w:lang w:val="en-US" w:eastAsia="zh-CN"/>
        </w:rPr>
        <w:t xml:space="preserve">                        </w:t>
      </w:r>
    </w:p>
    <w:p>
      <w:pPr>
        <w:snapToGrid w:val="0"/>
        <w:spacing w:line="300" w:lineRule="auto"/>
        <w:ind w:firstLine="640" w:firstLineChars="200"/>
        <w:rPr>
          <w:rFonts w:ascii="Times New Roman" w:hAnsi="Times New Roman" w:eastAsia="仿宋_GB2312" w:cs="仿宋"/>
          <w:bCs/>
          <w:color w:val="000000"/>
          <w:sz w:val="32"/>
          <w:szCs w:val="32"/>
          <w:u w:val="single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上述事实，主要有以下证据证明：</w:t>
      </w:r>
      <w:r>
        <w:rPr>
          <w:rFonts w:hint="eastAsia" w:ascii="仿宋" w:hAnsi="仿宋" w:eastAsia="仿宋"/>
          <w:spacing w:val="-4"/>
          <w:sz w:val="32"/>
          <w:szCs w:val="32"/>
          <w:u w:val="single"/>
        </w:rPr>
        <w:t>现场笔录1份、现场检查照片、询问笔录、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>《</w:t>
      </w:r>
      <w:r>
        <w:rPr>
          <w:rFonts w:hint="eastAsia" w:ascii="仿宋" w:hAnsi="仿宋" w:eastAsia="仿宋"/>
          <w:spacing w:val="-4"/>
          <w:sz w:val="32"/>
          <w:szCs w:val="32"/>
          <w:u w:val="single"/>
        </w:rPr>
        <w:t>财物清单》（</w:t>
      </w:r>
      <w:r>
        <w:rPr>
          <w:rFonts w:hint="eastAsia" w:eastAsia="仿宋_GB2312" w:cs="仿宋_GB2312"/>
          <w:sz w:val="32"/>
          <w:szCs w:val="32"/>
          <w:u w:val="single"/>
        </w:rPr>
        <w:t>第</w:t>
      </w:r>
      <w:r>
        <w:rPr>
          <w:rFonts w:hint="eastAsia" w:ascii="仿宋" w:hAnsi="仿宋" w:eastAsia="仿宋"/>
          <w:spacing w:val="-4"/>
          <w:sz w:val="32"/>
          <w:szCs w:val="32"/>
          <w:u w:val="single"/>
          <w:lang w:val="en-US" w:eastAsia="zh-CN"/>
        </w:rPr>
        <w:t>171</w:t>
      </w:r>
      <w:r>
        <w:rPr>
          <w:rFonts w:hint="eastAsia" w:ascii="仿宋" w:hAnsi="仿宋" w:eastAsia="仿宋"/>
          <w:spacing w:val="-4"/>
          <w:sz w:val="32"/>
          <w:szCs w:val="32"/>
          <w:u w:val="single"/>
        </w:rPr>
        <w:t>号）</w:t>
      </w:r>
      <w:r>
        <w:rPr>
          <w:rFonts w:hint="eastAsia" w:ascii="仿宋" w:hAnsi="仿宋" w:eastAsia="仿宋"/>
          <w:spacing w:val="-4"/>
          <w:sz w:val="32"/>
          <w:szCs w:val="32"/>
          <w:u w:val="single"/>
          <w:lang w:eastAsia="zh-CN"/>
        </w:rPr>
        <w:t>、食品</w:t>
      </w:r>
      <w:r>
        <w:rPr>
          <w:rFonts w:hint="eastAsia" w:ascii="仿宋" w:hAnsi="仿宋" w:eastAsia="仿宋"/>
          <w:spacing w:val="-4"/>
          <w:sz w:val="32"/>
          <w:szCs w:val="32"/>
          <w:u w:val="single"/>
          <w:lang w:val="en-US" w:eastAsia="zh-CN"/>
        </w:rPr>
        <w:t>台账复印件</w:t>
      </w:r>
      <w:r>
        <w:rPr>
          <w:rFonts w:hint="eastAsia" w:ascii="仿宋" w:hAnsi="仿宋" w:eastAsia="仿宋" w:cs="仿宋_GB2312"/>
          <w:sz w:val="32"/>
          <w:szCs w:val="32"/>
          <w:u w:val="single"/>
          <w:lang w:val="en-US" w:eastAsia="zh-CN"/>
        </w:rPr>
        <w:t>等证据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材料，事实清楚，证据确凿。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              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   </w:t>
      </w:r>
    </w:p>
    <w:p>
      <w:pPr>
        <w:snapToGrid w:val="0"/>
        <w:spacing w:line="300" w:lineRule="auto"/>
        <w:rPr>
          <w:rFonts w:ascii="Times New Roman" w:hAnsi="Times New Roman" w:eastAsia="仿宋_GB2312" w:cs="仿宋"/>
          <w:bCs/>
          <w:color w:val="000000"/>
          <w:sz w:val="32"/>
          <w:szCs w:val="32"/>
          <w:u w:val="single"/>
        </w:rPr>
      </w:pP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仿宋"/>
          <w:bCs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Times New Roman" w:hAnsi="Times New Roman" w:eastAsia="仿宋_GB2312" w:cs="仿宋"/>
          <w:bCs/>
          <w:color w:val="auto"/>
          <w:sz w:val="32"/>
          <w:szCs w:val="32"/>
          <w:u w:val="single"/>
        </w:rPr>
        <w:t>当事人</w:t>
      </w:r>
      <w:r>
        <w:rPr>
          <w:rFonts w:hint="eastAsia" w:ascii="Times New Roman" w:hAnsi="Times New Roman" w:eastAsia="仿宋_GB2312" w:cs="仿宋"/>
          <w:bCs/>
          <w:color w:val="auto"/>
          <w:sz w:val="32"/>
          <w:szCs w:val="32"/>
          <w:u w:val="single"/>
          <w:lang w:val="en-US" w:eastAsia="zh-CN"/>
        </w:rPr>
        <w:t>自</w:t>
      </w:r>
      <w:r>
        <w:rPr>
          <w:rFonts w:hint="eastAsia" w:ascii="Times New Roman" w:hAnsi="Times New Roman" w:eastAsia="仿宋_GB2312" w:cs="仿宋"/>
          <w:bCs/>
          <w:color w:val="auto"/>
          <w:sz w:val="32"/>
          <w:szCs w:val="32"/>
          <w:u w:val="single"/>
        </w:rPr>
        <w:t>202</w:t>
      </w:r>
      <w:r>
        <w:rPr>
          <w:rFonts w:hint="eastAsia" w:ascii="Times New Roman" w:hAnsi="Times New Roman" w:eastAsia="仿宋_GB2312" w:cs="仿宋"/>
          <w:bCs/>
          <w:color w:val="auto"/>
          <w:sz w:val="32"/>
          <w:szCs w:val="32"/>
          <w:u w:val="single"/>
          <w:lang w:val="en-US" w:eastAsia="zh-CN"/>
        </w:rPr>
        <w:t>1</w:t>
      </w:r>
      <w:r>
        <w:rPr>
          <w:rFonts w:hint="eastAsia" w:ascii="Times New Roman" w:hAnsi="Times New Roman" w:eastAsia="仿宋_GB2312" w:cs="仿宋"/>
          <w:bCs/>
          <w:color w:val="auto"/>
          <w:sz w:val="32"/>
          <w:szCs w:val="32"/>
          <w:u w:val="single"/>
        </w:rPr>
        <w:t>年</w:t>
      </w:r>
      <w:r>
        <w:rPr>
          <w:rFonts w:hint="eastAsia" w:ascii="Times New Roman" w:hAnsi="Times New Roman" w:eastAsia="仿宋_GB2312" w:cs="仿宋"/>
          <w:bCs/>
          <w:color w:val="auto"/>
          <w:sz w:val="32"/>
          <w:szCs w:val="32"/>
          <w:u w:val="single"/>
          <w:lang w:val="en-US" w:eastAsia="zh-CN"/>
        </w:rPr>
        <w:t>1</w:t>
      </w:r>
      <w:r>
        <w:rPr>
          <w:rFonts w:hint="eastAsia" w:ascii="Times New Roman" w:hAnsi="Times New Roman" w:eastAsia="仿宋_GB2312" w:cs="仿宋"/>
          <w:bCs/>
          <w:color w:val="auto"/>
          <w:sz w:val="32"/>
          <w:szCs w:val="32"/>
          <w:u w:val="single"/>
        </w:rPr>
        <w:t>月</w:t>
      </w:r>
      <w:r>
        <w:rPr>
          <w:rFonts w:hint="eastAsia" w:ascii="Times New Roman" w:hAnsi="Times New Roman" w:eastAsia="仿宋_GB2312" w:cs="仿宋"/>
          <w:bCs/>
          <w:color w:val="auto"/>
          <w:sz w:val="32"/>
          <w:szCs w:val="32"/>
          <w:u w:val="single"/>
          <w:lang w:val="en-US" w:eastAsia="zh-CN"/>
        </w:rPr>
        <w:t>8</w:t>
      </w:r>
      <w:r>
        <w:rPr>
          <w:rFonts w:hint="eastAsia" w:ascii="Times New Roman" w:hAnsi="Times New Roman" w:eastAsia="仿宋_GB2312" w:cs="仿宋"/>
          <w:bCs/>
          <w:color w:val="auto"/>
          <w:sz w:val="32"/>
          <w:szCs w:val="32"/>
          <w:u w:val="single"/>
        </w:rPr>
        <w:t>日</w:t>
      </w:r>
      <w:r>
        <w:rPr>
          <w:rFonts w:hint="eastAsia" w:ascii="Times New Roman" w:hAnsi="Times New Roman" w:eastAsia="仿宋_GB2312" w:cs="仿宋"/>
          <w:bCs/>
          <w:color w:val="auto"/>
          <w:sz w:val="32"/>
          <w:szCs w:val="32"/>
          <w:u w:val="single"/>
          <w:lang w:val="en-US" w:eastAsia="zh-CN"/>
        </w:rPr>
        <w:t>收到</w: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  <w:u w:val="single"/>
        </w:rPr>
        <w:t>本局</w:t>
      </w:r>
      <w:r>
        <w:rPr>
          <w:rFonts w:hint="eastAsia" w:ascii="Times New Roman" w:hAnsi="Times New Roman" w:eastAsia="仿宋_GB2312" w:cs="仿宋"/>
          <w:bCs/>
          <w:color w:val="auto"/>
          <w:sz w:val="32"/>
          <w:szCs w:val="32"/>
          <w:u w:val="single"/>
        </w:rPr>
        <w:t>送达《行政处罚告知书》（惠湾市监西</w:t>
      </w:r>
      <w:r>
        <w:rPr>
          <w:rFonts w:hint="eastAsia" w:ascii="Times New Roman" w:hAnsi="Times New Roman" w:eastAsia="仿宋_GB2312" w:cs="仿宋"/>
          <w:bCs/>
          <w:color w:val="auto"/>
          <w:sz w:val="32"/>
          <w:szCs w:val="32"/>
          <w:u w:val="single"/>
          <w:lang w:val="en-US" w:eastAsia="zh-CN"/>
        </w:rPr>
        <w:t>告</w:t>
      </w:r>
      <w:r>
        <w:rPr>
          <w:rFonts w:hint="eastAsia" w:ascii="Times New Roman" w:hAnsi="Times New Roman" w:eastAsia="仿宋_GB2312" w:cs="仿宋"/>
          <w:bCs/>
          <w:color w:val="auto"/>
          <w:sz w:val="32"/>
          <w:szCs w:val="32"/>
          <w:u w:val="single"/>
        </w:rPr>
        <w:t>字〔202</w:t>
      </w:r>
      <w:r>
        <w:rPr>
          <w:rFonts w:hint="eastAsia" w:ascii="Times New Roman" w:hAnsi="Times New Roman" w:eastAsia="仿宋_GB2312" w:cs="仿宋"/>
          <w:bCs/>
          <w:color w:val="auto"/>
          <w:sz w:val="32"/>
          <w:szCs w:val="32"/>
          <w:u w:val="single"/>
          <w:lang w:val="en-US" w:eastAsia="zh-CN"/>
        </w:rPr>
        <w:t>1</w:t>
      </w:r>
      <w:r>
        <w:rPr>
          <w:rFonts w:hint="eastAsia" w:ascii="Times New Roman" w:hAnsi="Times New Roman" w:eastAsia="仿宋_GB2312" w:cs="仿宋"/>
          <w:bCs/>
          <w:color w:val="auto"/>
          <w:sz w:val="32"/>
          <w:szCs w:val="32"/>
          <w:u w:val="single"/>
        </w:rPr>
        <w:t>〕</w:t>
      </w:r>
      <w:r>
        <w:rPr>
          <w:rFonts w:hint="eastAsia" w:ascii="Times New Roman" w:hAnsi="Times New Roman" w:eastAsia="仿宋_GB2312" w:cs="仿宋"/>
          <w:bCs/>
          <w:color w:val="auto"/>
          <w:sz w:val="32"/>
          <w:szCs w:val="32"/>
          <w:u w:val="single"/>
          <w:lang w:val="en-US" w:eastAsia="zh-CN"/>
        </w:rPr>
        <w:t>4</w:t>
      </w:r>
      <w:r>
        <w:rPr>
          <w:rFonts w:hint="eastAsia" w:ascii="Times New Roman" w:hAnsi="Times New Roman" w:eastAsia="仿宋_GB2312" w:cs="仿宋"/>
          <w:bCs/>
          <w:color w:val="auto"/>
          <w:sz w:val="32"/>
          <w:szCs w:val="32"/>
          <w:u w:val="single"/>
        </w:rPr>
        <w:t>号），</w:t>
      </w:r>
      <w:r>
        <w:rPr>
          <w:rFonts w:hint="eastAsia" w:ascii="Times New Roman" w:hAnsi="Times New Roman" w:eastAsia="仿宋_GB2312" w:cs="仿宋"/>
          <w:bCs/>
          <w:color w:val="auto"/>
          <w:sz w:val="32"/>
          <w:szCs w:val="32"/>
          <w:u w:val="single"/>
          <w:lang w:val="en-US" w:eastAsia="zh-CN"/>
        </w:rPr>
        <w:t>告知当事人我局拟作出行政处罚的事实、理由、依据及处罚内容，</w:t>
      </w:r>
      <w:r>
        <w:rPr>
          <w:rFonts w:hint="eastAsia" w:ascii="Times New Roman" w:hAnsi="Times New Roman" w:eastAsia="仿宋_GB2312" w:cs="仿宋"/>
          <w:bCs/>
          <w:color w:val="auto"/>
          <w:sz w:val="32"/>
          <w:szCs w:val="32"/>
          <w:u w:val="single"/>
        </w:rPr>
        <w:t>当事人在</w:t>
      </w:r>
      <w:r>
        <w:rPr>
          <w:rFonts w:hint="eastAsia" w:ascii="Times New Roman" w:hAnsi="Times New Roman" w:eastAsia="仿宋_GB2312" w:cs="仿宋"/>
          <w:bCs/>
          <w:color w:val="auto"/>
          <w:sz w:val="32"/>
          <w:szCs w:val="32"/>
          <w:u w:val="single"/>
          <w:lang w:val="en-US" w:eastAsia="zh-CN"/>
        </w:rPr>
        <w:t>法定时间</w:t>
      </w:r>
      <w:r>
        <w:rPr>
          <w:rFonts w:hint="eastAsia" w:ascii="Times New Roman" w:hAnsi="Times New Roman" w:eastAsia="仿宋_GB2312" w:cs="仿宋"/>
          <w:bCs/>
          <w:color w:val="auto"/>
          <w:sz w:val="32"/>
          <w:szCs w:val="32"/>
          <w:u w:val="single"/>
        </w:rPr>
        <w:t>内未提出陈述、申辩</w:t>
      </w:r>
      <w:r>
        <w:rPr>
          <w:rFonts w:hint="eastAsia" w:ascii="Times New Roman" w:hAnsi="Times New Roman" w:eastAsia="仿宋_GB2312" w:cs="仿宋"/>
          <w:bCs/>
          <w:color w:val="auto"/>
          <w:sz w:val="32"/>
          <w:szCs w:val="32"/>
          <w:u w:val="single"/>
          <w:lang w:val="en-US" w:eastAsia="zh-CN"/>
        </w:rPr>
        <w:t>的</w:t>
      </w:r>
      <w:r>
        <w:rPr>
          <w:rFonts w:hint="eastAsia" w:ascii="Times New Roman" w:hAnsi="Times New Roman" w:eastAsia="仿宋_GB2312" w:cs="仿宋"/>
          <w:bCs/>
          <w:color w:val="auto"/>
          <w:sz w:val="32"/>
          <w:szCs w:val="32"/>
          <w:u w:val="single"/>
        </w:rPr>
        <w:t>要求</w: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  <w:u w:val="single"/>
        </w:rPr>
        <w:t xml:space="preserve">。 </w:t>
      </w:r>
      <w:r>
        <w:rPr>
          <w:rFonts w:ascii="Times New Roman" w:hAnsi="Times New Roman" w:eastAsia="仿宋_GB2312" w:cs="仿宋"/>
          <w:bCs/>
          <w:color w:val="000000"/>
          <w:sz w:val="32"/>
          <w:szCs w:val="32"/>
          <w:u w:val="single"/>
        </w:rPr>
        <w:t xml:space="preserve">                                                  </w:t>
      </w:r>
    </w:p>
    <w:p>
      <w:pPr>
        <w:snapToGrid w:val="0"/>
        <w:spacing w:line="300" w:lineRule="auto"/>
        <w:rPr>
          <w:rFonts w:ascii="Times New Roman" w:hAnsi="Times New Roman" w:eastAsia="仿宋_GB2312" w:cs="仿宋"/>
          <w:bCs/>
          <w:color w:val="000000"/>
          <w:sz w:val="32"/>
          <w:szCs w:val="32"/>
          <w:u w:val="single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  当事人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在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val="en-US" w:eastAsia="zh-CN"/>
        </w:rPr>
        <w:t>大亚湾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未经许可从事餐饮服务的行为，违反了《中华人民共和国食品安全法》第三十五条第一款，即“国家对食品生产经营实行许可制度。从事食品生产、食品销售、餐饮服务，应当依法取得许可”的规定。             </w:t>
      </w:r>
      <w:r>
        <w:rPr>
          <w:rFonts w:ascii="Times New Roman" w:hAnsi="Times New Roman" w:eastAsia="仿宋_GB2312" w:cs="仿宋"/>
          <w:color w:val="000000"/>
          <w:sz w:val="32"/>
          <w:szCs w:val="32"/>
          <w:u w:val="single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Times New Roman" w:hAnsi="Times New Roman" w:eastAsia="仿宋_GB2312" w:cs="仿宋_GB2312"/>
          <w:bCs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仿宋"/>
          <w:bCs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_GB2312"/>
          <w:bCs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现根据《中华人民共和国食品安全法》第一百二十二条第一款</w:t>
      </w:r>
      <w:r>
        <w:rPr>
          <w:rFonts w:hint="eastAsia" w:ascii="仿宋" w:hAnsi="仿宋" w:eastAsia="仿宋" w:cs="仿宋_GB2312"/>
          <w:bCs/>
          <w:color w:val="000000" w:themeColor="text1"/>
          <w:sz w:val="32"/>
          <w:szCs w:val="32"/>
          <w:u w:val="singl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_GB2312"/>
          <w:bCs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《中华人民共和国行政处罚法》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u w:val="single"/>
          <w:lang w:val="en-US" w:eastAsia="zh-CN"/>
        </w:rPr>
        <w:t>第二十三条、</w:t>
      </w:r>
      <w:r>
        <w:rPr>
          <w:rFonts w:hint="eastAsia" w:ascii="仿宋" w:hAnsi="仿宋" w:eastAsia="仿宋" w:cs="仿宋_GB2312"/>
          <w:bCs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第二十七条第一款第四项</w:t>
      </w:r>
      <w:r>
        <w:rPr>
          <w:rFonts w:hint="eastAsia" w:ascii="仿宋" w:hAnsi="仿宋" w:eastAsia="仿宋" w:cs="仿宋_GB2312"/>
          <w:bCs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及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  <w:t>《广东省市场监督管理局关于行政处罚自由裁量权的适用规则》第十七条第一项</w:t>
      </w:r>
      <w:r>
        <w:rPr>
          <w:rFonts w:hint="eastAsia" w:ascii="仿宋" w:hAnsi="仿宋" w:eastAsia="仿宋" w:cs="仿宋_GB2312"/>
          <w:bCs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的规定,责令当事人立即停止违法经营活动，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u w:val="single"/>
        </w:rPr>
        <w:t>并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u w:val="single"/>
          <w:lang w:val="en-US" w:eastAsia="zh-CN"/>
        </w:rPr>
        <w:t>决定对当事人作出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u w:val="single"/>
          <w:lang w:eastAsia="zh-CN"/>
        </w:rPr>
        <w:t>以下</w:t>
      </w:r>
      <w:r>
        <w:rPr>
          <w:rFonts w:hint="eastAsia" w:ascii="Times New Roman" w:hAnsi="Times New Roman" w:eastAsia="仿宋_GB2312" w:cs="仿宋_GB2312"/>
          <w:bCs/>
          <w:color w:val="auto"/>
          <w:sz w:val="32"/>
          <w:szCs w:val="32"/>
          <w:u w:val="single"/>
          <w:lang w:val="en-US" w:eastAsia="zh-CN"/>
        </w:rPr>
        <w:t>减轻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u w:val="single"/>
          <w:lang w:eastAsia="zh-CN"/>
        </w:rPr>
        <w:t>行政处罚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u w:val="single"/>
          <w:lang w:val="en-US" w:eastAsia="zh-CN"/>
        </w:rPr>
        <w:t xml:space="preserve">: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Times New Roman" w:hAnsi="Times New Roman" w:eastAsia="仿宋_GB2312" w:cs="仿宋_GB2312"/>
          <w:bCs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 w:eastAsia="仿宋_GB2312" w:cs="仿宋_GB2312"/>
          <w:bCs/>
          <w:sz w:val="32"/>
          <w:szCs w:val="32"/>
          <w:u w:val="single"/>
          <w:lang w:val="en-US" w:eastAsia="zh-CN"/>
        </w:rPr>
        <w:t xml:space="preserve">    一、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u w:val="single"/>
        </w:rPr>
        <w:t>罚款人民币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u w:val="single"/>
          <w:lang w:val="en-US" w:eastAsia="zh-CN"/>
        </w:rPr>
        <w:t>壹万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u w:val="single"/>
          <w:lang w:eastAsia="zh-CN"/>
        </w:rPr>
        <w:t>元整（¥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u w:val="single"/>
          <w:lang w:val="en-US" w:eastAsia="zh-CN"/>
        </w:rPr>
        <w:t>10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u w:val="single"/>
          <w:lang w:eastAsia="zh-CN"/>
        </w:rPr>
        <w:t>00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u w:val="single"/>
          <w:lang w:val="en-US" w:eastAsia="zh-CN"/>
        </w:rPr>
        <w:t>0.00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u w:val="single"/>
          <w:lang w:eastAsia="zh-CN"/>
        </w:rPr>
        <w:t>）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u w:val="single"/>
        </w:rPr>
        <w:t>；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u w:val="single"/>
          <w:lang w:val="en-US" w:eastAsia="zh-CN"/>
        </w:rPr>
        <w:t xml:space="preserve">                            </w:t>
      </w:r>
    </w:p>
    <w:p>
      <w:pPr>
        <w:snapToGrid w:val="0"/>
        <w:spacing w:line="312" w:lineRule="auto"/>
        <w:rPr>
          <w:rFonts w:ascii="Times New Roman" w:hAnsi="Times New Roman" w:eastAsia="仿宋_GB2312" w:cs="仿宋"/>
          <w:bCs/>
          <w:color w:val="000000"/>
          <w:sz w:val="32"/>
          <w:szCs w:val="32"/>
          <w:u w:val="single"/>
        </w:rPr>
      </w:pPr>
      <w:r>
        <w:rPr>
          <w:rFonts w:hint="eastAsia" w:ascii="Times New Roman" w:hAnsi="Times New Roman" w:eastAsia="仿宋_GB2312" w:cs="仿宋_GB2312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u w:val="single"/>
          <w:lang w:eastAsia="zh-CN"/>
        </w:rPr>
        <w:t>二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u w:val="single"/>
        </w:rPr>
        <w:t>、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u w:val="single"/>
          <w:lang w:eastAsia="zh-CN"/>
        </w:rPr>
        <w:t>没收用于违法经营的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u w:val="single"/>
          <w:lang w:val="en-US" w:eastAsia="zh-CN"/>
        </w:rPr>
        <w:t>食品及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u w:val="single"/>
          <w:lang w:eastAsia="zh-CN"/>
        </w:rPr>
        <w:t>工具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u w:val="single"/>
          <w:lang w:val="en-US" w:eastAsia="zh-CN"/>
        </w:rPr>
        <w:t xml:space="preserve">。    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u w:val="single"/>
        </w:rPr>
        <w:t xml:space="preserve">              </w:t>
      </w:r>
    </w:p>
    <w:p>
      <w:pPr>
        <w:snapToGrid w:val="0"/>
        <w:spacing w:line="300" w:lineRule="auto"/>
        <w:rPr>
          <w:rFonts w:ascii="仿宋" w:hAnsi="仿宋" w:eastAsia="仿宋" w:cs="楷体_GB2312"/>
          <w:color w:val="000000"/>
          <w:sz w:val="32"/>
          <w:szCs w:val="32"/>
          <w:u w:val="single"/>
        </w:rPr>
      </w:pP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楷体_GB2312"/>
          <w:color w:val="000000"/>
          <w:sz w:val="32"/>
          <w:szCs w:val="32"/>
          <w:u w:val="single"/>
        </w:rPr>
        <w:t xml:space="preserve">当事人应自接到本处罚决定书之日起15日到惠州大亚湾建设银行、工商银行、农业银行的其中一间银行缴纳罚款，或者使用惠州大亚湾经济技术开发区市场监督管理局的POS机刷卡缴纳罚款。逾期不缴纳罚款的，根据《中华人民共和国行政处罚法》第五十一条第（一）项的规定，每日按罚款数额的3%加处罚款，并依法申请人民法院强制执行。  </w:t>
      </w:r>
      <w:r>
        <w:rPr>
          <w:rFonts w:ascii="仿宋" w:hAnsi="仿宋" w:eastAsia="仿宋" w:cs="楷体_GB2312"/>
          <w:color w:val="000000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 w:cs="楷体_GB2312"/>
          <w:color w:val="000000"/>
          <w:sz w:val="32"/>
          <w:szCs w:val="32"/>
          <w:u w:val="single"/>
        </w:rPr>
        <w:t xml:space="preserve"> </w:t>
      </w:r>
      <w:r>
        <w:rPr>
          <w:rFonts w:ascii="仿宋" w:hAnsi="仿宋" w:eastAsia="仿宋" w:cs="楷体_GB2312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楷体_GB2312"/>
          <w:color w:val="000000"/>
          <w:sz w:val="32"/>
          <w:szCs w:val="32"/>
          <w:u w:val="single"/>
        </w:rPr>
        <w:t xml:space="preserve">  </w:t>
      </w:r>
      <w:r>
        <w:rPr>
          <w:rFonts w:ascii="仿宋" w:hAnsi="仿宋" w:eastAsia="仿宋" w:cs="楷体_GB2312"/>
          <w:color w:val="000000"/>
          <w:sz w:val="32"/>
          <w:szCs w:val="32"/>
          <w:u w:val="single"/>
        </w:rPr>
        <w:t xml:space="preserve">      </w:t>
      </w:r>
    </w:p>
    <w:p>
      <w:pPr>
        <w:snapToGrid w:val="0"/>
        <w:spacing w:line="300" w:lineRule="auto"/>
        <w:rPr>
          <w:rFonts w:ascii="Times New Roman" w:hAnsi="Times New Roman" w:eastAsia="仿宋_GB2312" w:cs="仿宋"/>
          <w:bCs/>
          <w:color w:val="000000"/>
          <w:sz w:val="32"/>
          <w:szCs w:val="32"/>
          <w:u w:val="single"/>
        </w:rPr>
      </w:pPr>
      <w:r>
        <w:rPr>
          <w:rFonts w:hint="eastAsia" w:ascii="仿宋" w:hAnsi="仿宋" w:eastAsia="仿宋" w:cs="楷体_GB2312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  <w:u w:val="single"/>
        </w:rPr>
        <w:t>如不服本</w: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  <w:u w:val="single"/>
          <w:lang w:val="en-US" w:eastAsia="zh-CN"/>
        </w:rPr>
        <w:t>行政</w: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  <w:u w:val="single"/>
        </w:rPr>
        <w:t>处罚决定，</w: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  <w:u w:val="single"/>
          <w:lang w:val="en-US" w:eastAsia="zh-CN"/>
        </w:rPr>
        <w:t>可以</w: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  <w:u w:val="single"/>
        </w:rPr>
        <w:t>在</w: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  <w:u w:val="single"/>
          <w:lang w:val="en-US" w:eastAsia="zh-CN"/>
        </w:rPr>
        <w:t>收</w: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  <w:u w:val="single"/>
        </w:rPr>
        <w:t>到本</w: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  <w:u w:val="single"/>
          <w:lang w:val="en-US" w:eastAsia="zh-CN"/>
        </w:rPr>
        <w:t>行政</w: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  <w:u w:val="single"/>
        </w:rPr>
        <w:t>处罚决定书之日起</w: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  <w:u w:val="single"/>
          <w:lang w:val="en-US" w:eastAsia="zh-CN"/>
        </w:rPr>
        <w:t>六十</w: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  <w:u w:val="single"/>
        </w:rPr>
        <w:t>日内向惠州大亚湾经济技术开发区管理委员会</w: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  <w:u w:val="single"/>
          <w:lang w:val="en-US" w:eastAsia="zh-CN"/>
        </w:rPr>
        <w:t>或者</w: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  <w:u w:val="single"/>
        </w:rPr>
        <w:t>惠州市市场监督管理局申请行政复议</w: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  <w:u w:val="single"/>
          <w:lang w:eastAsia="zh-CN"/>
        </w:rPr>
        <w:t>；</w: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  <w:u w:val="single"/>
        </w:rPr>
        <w:t>也</w: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  <w:u w:val="single"/>
          <w:lang w:val="en-US" w:eastAsia="zh-CN"/>
        </w:rPr>
        <w:t>可以在六</w: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  <w:u w:val="single"/>
        </w:rPr>
        <w:t>个月内</w: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  <w:u w:val="single"/>
          <w:lang w:val="en-US" w:eastAsia="zh-CN"/>
        </w:rPr>
        <w:t>依法</w: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  <w:u w:val="single"/>
        </w:rPr>
        <w:t>向博罗县人民法院提起行政诉讼。</w: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  <w:u w:val="single"/>
          <w:lang w:val="en-US" w:eastAsia="zh-CN"/>
        </w:rPr>
        <w:t>申请行政复议或者提起行政诉讼期间，行政处罚不停止执行。</w: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  <w:u w:val="single"/>
        </w:rPr>
        <w:t xml:space="preserve">                           </w:t>
      </w:r>
    </w:p>
    <w:p>
      <w:pPr>
        <w:snapToGrid w:val="0"/>
        <w:spacing w:line="300" w:lineRule="auto"/>
        <w:ind w:firstLine="601"/>
        <w:jc w:val="center"/>
        <w:rPr>
          <w:rFonts w:ascii="Times New Roman" w:hAnsi="Times New Roman" w:eastAsia="仿宋_GB2312" w:cs="仿宋"/>
          <w:color w:val="000000"/>
          <w:sz w:val="32"/>
          <w:szCs w:val="32"/>
        </w:rPr>
      </w:pPr>
    </w:p>
    <w:p>
      <w:pPr>
        <w:snapToGrid w:val="0"/>
        <w:spacing w:line="300" w:lineRule="auto"/>
        <w:ind w:firstLine="601"/>
        <w:jc w:val="center"/>
        <w:rPr>
          <w:rFonts w:ascii="Times New Roman" w:hAnsi="Times New Roman" w:eastAsia="仿宋_GB2312" w:cs="仿宋"/>
          <w:color w:val="000000"/>
          <w:sz w:val="32"/>
          <w:szCs w:val="32"/>
        </w:rPr>
      </w:pPr>
    </w:p>
    <w:p>
      <w:pPr>
        <w:snapToGrid w:val="0"/>
        <w:spacing w:line="300" w:lineRule="auto"/>
        <w:ind w:firstLine="601"/>
        <w:jc w:val="center"/>
        <w:rPr>
          <w:rFonts w:ascii="Times New Roman" w:hAnsi="Times New Roman" w:eastAsia="仿宋_GB2312" w:cs="仿宋"/>
          <w:color w:val="000000"/>
          <w:sz w:val="32"/>
          <w:szCs w:val="32"/>
        </w:rPr>
      </w:pPr>
    </w:p>
    <w:p>
      <w:pPr>
        <w:snapToGrid w:val="0"/>
        <w:spacing w:line="300" w:lineRule="auto"/>
        <w:ind w:firstLine="601"/>
        <w:jc w:val="right"/>
        <w:rPr>
          <w:rFonts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惠州大亚湾经济技术开发区市场监督管理局</w:t>
      </w:r>
    </w:p>
    <w:p>
      <w:pPr>
        <w:snapToGrid w:val="0"/>
        <w:spacing w:line="300" w:lineRule="auto"/>
        <w:ind w:firstLine="5120" w:firstLineChars="1600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（印 章）</w:t>
      </w:r>
    </w:p>
    <w:p>
      <w:pPr>
        <w:snapToGrid w:val="0"/>
        <w:spacing w:line="300" w:lineRule="auto"/>
        <w:ind w:firstLine="5120" w:firstLineChars="1600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</w:p>
    <w:p>
      <w:pPr>
        <w:snapToGrid w:val="0"/>
        <w:spacing w:line="300" w:lineRule="auto"/>
        <w:ind w:firstLine="4480" w:firstLineChars="1400"/>
        <w:rPr>
          <w:rFonts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202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年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月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14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日</w:t>
      </w:r>
    </w:p>
    <w:p>
      <w:pPr>
        <w:snapToGrid w:val="0"/>
        <w:spacing w:line="300" w:lineRule="auto"/>
        <w:ind w:right="640" w:firstLine="600"/>
        <w:jc w:val="center"/>
        <w:rPr>
          <w:rFonts w:ascii="Times New Roman" w:hAnsi="Times New Roman" w:eastAsia="仿宋_GB2312" w:cs="仿宋"/>
          <w:color w:val="000000"/>
          <w:sz w:val="32"/>
          <w:szCs w:val="32"/>
        </w:rPr>
      </w:pPr>
    </w:p>
    <w:p>
      <w:pPr>
        <w:snapToGrid w:val="0"/>
        <w:spacing w:line="300" w:lineRule="auto"/>
        <w:jc w:val="center"/>
        <w:rPr>
          <w:rFonts w:ascii="Times New Roman" w:hAnsi="Times New Roman" w:eastAsia="仿宋_GB2312" w:cs="仿宋"/>
          <w:color w:val="000000"/>
          <w:sz w:val="32"/>
          <w:szCs w:val="32"/>
        </w:rPr>
      </w:pPr>
    </w:p>
    <w:p>
      <w:pPr>
        <w:snapToGrid w:val="0"/>
        <w:spacing w:line="300" w:lineRule="auto"/>
        <w:jc w:val="center"/>
        <w:rPr>
          <w:rFonts w:ascii="Times New Roman" w:hAnsi="Times New Roman" w:eastAsia="仿宋_GB2312" w:cs="仿宋"/>
          <w:color w:val="000000"/>
          <w:sz w:val="32"/>
          <w:szCs w:val="32"/>
        </w:rPr>
      </w:pPr>
    </w:p>
    <w:p>
      <w:pPr>
        <w:snapToGrid w:val="0"/>
        <w:spacing w:line="300" w:lineRule="auto"/>
        <w:jc w:val="center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</w:p>
    <w:p>
      <w:pPr>
        <w:snapToGrid w:val="0"/>
        <w:spacing w:line="300" w:lineRule="auto"/>
        <w:jc w:val="center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</w:p>
    <w:p>
      <w:pPr>
        <w:snapToGrid w:val="0"/>
        <w:spacing w:line="300" w:lineRule="auto"/>
        <w:jc w:val="center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</w:p>
    <w:p>
      <w:pPr>
        <w:snapToGrid w:val="0"/>
        <w:spacing w:line="300" w:lineRule="auto"/>
        <w:jc w:val="center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</w:p>
    <w:p>
      <w:pPr>
        <w:snapToGrid w:val="0"/>
        <w:spacing w:line="300" w:lineRule="auto"/>
        <w:jc w:val="center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</w:p>
    <w:p>
      <w:pPr>
        <w:snapToGrid w:val="0"/>
        <w:spacing w:line="300" w:lineRule="auto"/>
        <w:jc w:val="center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</w:p>
    <w:p>
      <w:pPr>
        <w:snapToGrid w:val="0"/>
        <w:spacing w:line="300" w:lineRule="auto"/>
        <w:jc w:val="center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</w:p>
    <w:p>
      <w:pPr>
        <w:snapToGrid w:val="0"/>
        <w:spacing w:line="300" w:lineRule="auto"/>
        <w:jc w:val="center"/>
        <w:rPr>
          <w:rFonts w:ascii="Times New Roman" w:hAnsi="Times New Roman" w:eastAsia="仿宋_GB2312" w:cs="仿宋"/>
          <w:color w:val="000000"/>
          <w:sz w:val="32"/>
          <w:szCs w:val="32"/>
        </w:rPr>
      </w:pPr>
    </w:p>
    <w:p>
      <w:pPr>
        <w:snapToGrid w:val="0"/>
        <w:spacing w:line="300" w:lineRule="auto"/>
        <w:jc w:val="center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</w:p>
    <w:p>
      <w:pPr>
        <w:snapToGrid w:val="0"/>
        <w:spacing w:line="300" w:lineRule="auto"/>
        <w:jc w:val="center"/>
        <w:rPr>
          <w:rFonts w:ascii="黑体" w:hAnsi="黑体" w:eastAsia="黑体" w:cs="黑体"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sz w:val="30"/>
          <w:szCs w:val="30"/>
        </w:rPr>
        <w:t>（市场监督管理部门将依法向社会公示本行政处罚决定信息）</w:t>
      </w:r>
    </w:p>
    <w:p>
      <w:pPr>
        <w:snapToGrid w:val="0"/>
        <w:spacing w:line="300" w:lineRule="auto"/>
        <w:jc w:val="center"/>
        <w:rPr>
          <w:rFonts w:ascii="Times New Roman" w:hAnsi="Times New Roman" w:eastAsia="仿宋_GB2312" w:cs="仿宋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-115570</wp:posOffset>
                </wp:positionH>
                <wp:positionV relativeFrom="paragraph">
                  <wp:posOffset>172085</wp:posOffset>
                </wp:positionV>
                <wp:extent cx="5550535" cy="635"/>
                <wp:effectExtent l="0" t="0" r="0" b="0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0535" cy="63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9.1pt;margin-top:13.55pt;height:0.05pt;width:437.05pt;z-index:251662336;mso-width-relative:page;mso-height-relative:page;" filled="f" stroked="t" coordsize="21600,21600" o:gfxdata="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tBP9C2QAAAAkBAAAPAAAAAAAAAAEAIAAA&#10;ACIAAABkcnMvZG93bnJldi54bWxQSwECFAAUAAAACACHTuJAKTdHr9IBAACPAwAADgAAAAAAAAAB&#10;ACAAAAAoAQAAZHJzL2Uyb0RvYy54bWxQSwUGAAAAAAYABgBZAQAAbAUAAAAA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napToGrid w:val="0"/>
        <w:spacing w:line="300" w:lineRule="auto"/>
        <w:jc w:val="center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20807045</wp:posOffset>
                </wp:positionV>
                <wp:extent cx="5762625" cy="1270"/>
                <wp:effectExtent l="0" t="0" r="0" b="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2625" cy="1270"/>
                        </a:xfrm>
                        <a:prstGeom prst="line">
                          <a:avLst/>
                        </a:prstGeom>
                        <a:ln w="9360" cap="sq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638.35pt;height:0.1pt;width:453.75pt;z-index:251661312;mso-width-relative:page;mso-height-relative:page;" filled="f" stroked="t" coordsize="21600,21600" o:gfxdata="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CL7/OR1wAAAAoBAAAPAAAAAAAAAAEA&#10;IAAAACIAAABkcnMvZG93bnJldi54bWxQSwECFAAUAAAACACHTuJAJXomzNcBAACNAwAADgAAAAAA&#10;AAABACAAAAAmAQAAZHJzL2Uyb0RvYy54bWxQSwUGAAAAAAYABgBZAQAAbwUAAAAA&#10;">
                <v:fill on="f" focussize="0,0"/>
                <v:stroke weight="0.737007874015748pt" color="#000000" joinstyle="round" endcap="square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本文书一式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二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一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份送达，一份归档。</w:t>
      </w:r>
    </w:p>
    <w:sectPr>
      <w:footerReference r:id="rId3" w:type="default"/>
      <w:pgSz w:w="11906" w:h="16838"/>
      <w:pgMar w:top="1440" w:right="1559" w:bottom="1440" w:left="155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sz w:val="28"/>
        <w:szCs w:val="28"/>
      </w:rPr>
    </w:pPr>
    <w:r>
      <w:rPr>
        <w:rFonts w:hint="eastAsia"/>
        <w:sz w:val="28"/>
        <w:szCs w:val="28"/>
      </w:rPr>
      <w:t xml:space="preserve">第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</w:instrText>
    </w:r>
    <w:r>
      <w:rPr>
        <w:rFonts w:hint="eastAsia"/>
        <w:sz w:val="28"/>
        <w:szCs w:val="28"/>
      </w:rPr>
      <w:instrText xml:space="preserve">page</w:instrText>
    </w:r>
    <w:r>
      <w:rPr>
        <w:sz w:val="28"/>
        <w:szCs w:val="28"/>
      </w:rPr>
      <w:instrText xml:space="preserve"> </w:instrText>
    </w:r>
    <w:r>
      <w:rPr>
        <w:sz w:val="28"/>
        <w:szCs w:val="28"/>
      </w:rPr>
      <w:fldChar w:fldCharType="separate"/>
    </w:r>
    <w:r>
      <w:rPr>
        <w:sz w:val="28"/>
        <w:szCs w:val="28"/>
      </w:rPr>
      <w:t>1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Fonts w:hint="eastAsia"/>
        <w:sz w:val="28"/>
        <w:szCs w:val="28"/>
      </w:rPr>
      <w:t xml:space="preserve">页 共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</w:instrText>
    </w:r>
    <w:r>
      <w:rPr>
        <w:rFonts w:hint="eastAsia"/>
        <w:sz w:val="28"/>
        <w:szCs w:val="28"/>
      </w:rPr>
      <w:instrText xml:space="preserve">Numpages</w:instrText>
    </w:r>
    <w:r>
      <w:rPr>
        <w:sz w:val="28"/>
        <w:szCs w:val="28"/>
      </w:rPr>
      <w:instrText xml:space="preserve"> </w:instrText>
    </w:r>
    <w:r>
      <w:rPr>
        <w:sz w:val="28"/>
        <w:szCs w:val="28"/>
      </w:rPr>
      <w:fldChar w:fldCharType="separate"/>
    </w:r>
    <w:r>
      <w:rPr>
        <w:sz w:val="28"/>
        <w:szCs w:val="28"/>
      </w:rPr>
      <w:t>3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Fonts w:hint="eastAsia"/>
        <w:sz w:val="28"/>
        <w:szCs w:val="28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07C"/>
    <w:rsid w:val="000D60EF"/>
    <w:rsid w:val="0011607C"/>
    <w:rsid w:val="003C4EF2"/>
    <w:rsid w:val="006C3DC0"/>
    <w:rsid w:val="0076038D"/>
    <w:rsid w:val="007838C2"/>
    <w:rsid w:val="009B71CA"/>
    <w:rsid w:val="00B4607E"/>
    <w:rsid w:val="00C513FA"/>
    <w:rsid w:val="00F2210A"/>
    <w:rsid w:val="00F861DF"/>
    <w:rsid w:val="01370045"/>
    <w:rsid w:val="02D7160C"/>
    <w:rsid w:val="04F43DB5"/>
    <w:rsid w:val="0BAF23F8"/>
    <w:rsid w:val="0D8A1A30"/>
    <w:rsid w:val="104743EE"/>
    <w:rsid w:val="1331058C"/>
    <w:rsid w:val="18A64701"/>
    <w:rsid w:val="1A72301C"/>
    <w:rsid w:val="1CDE1116"/>
    <w:rsid w:val="1F197F58"/>
    <w:rsid w:val="1FBF354A"/>
    <w:rsid w:val="1FC52313"/>
    <w:rsid w:val="272305BC"/>
    <w:rsid w:val="28A674FD"/>
    <w:rsid w:val="2ADA6110"/>
    <w:rsid w:val="2C776FE3"/>
    <w:rsid w:val="2D0A4C32"/>
    <w:rsid w:val="2EDE60BC"/>
    <w:rsid w:val="2EF42FF3"/>
    <w:rsid w:val="360C5480"/>
    <w:rsid w:val="36383B24"/>
    <w:rsid w:val="3B933C8F"/>
    <w:rsid w:val="427A0FCD"/>
    <w:rsid w:val="4402043F"/>
    <w:rsid w:val="47C30077"/>
    <w:rsid w:val="4E880D80"/>
    <w:rsid w:val="5060591A"/>
    <w:rsid w:val="54F5505D"/>
    <w:rsid w:val="55F02F4A"/>
    <w:rsid w:val="56101D77"/>
    <w:rsid w:val="564D71B4"/>
    <w:rsid w:val="5E2E0556"/>
    <w:rsid w:val="5E5B2522"/>
    <w:rsid w:val="5F392D59"/>
    <w:rsid w:val="61067024"/>
    <w:rsid w:val="619B4419"/>
    <w:rsid w:val="693036E9"/>
    <w:rsid w:val="6BB83736"/>
    <w:rsid w:val="769B6087"/>
    <w:rsid w:val="79307ED2"/>
    <w:rsid w:val="79E36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3</Pages>
  <Words>312</Words>
  <Characters>1783</Characters>
  <Lines>14</Lines>
  <Paragraphs>4</Paragraphs>
  <TotalTime>12</TotalTime>
  <ScaleCrop>false</ScaleCrop>
  <LinksUpToDate>false</LinksUpToDate>
  <CharactersWithSpaces>2091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2019-07-24T10:42:00Z</dcterms:created>
  <dc:creator>Windows 用户</dc:creator>
  <cp:lastModifiedBy>Administrator</cp:lastModifiedBy>
  <cp:lastPrinted>2020-10-27T06:39:00Z</cp:lastPrinted>
  <dcterms:modified xsi:type="dcterms:W3CDTF">2021-01-25T02:41:17Z</dcterms:modified>
  <dc:title>惠州大亚湾经济技术开发区市场监督管理局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