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方正小标宋简体" w:hAnsi="黑体" w:eastAsia="方正小标宋简体" w:cs="仿宋"/>
          <w:color w:val="000000"/>
          <w:sz w:val="44"/>
          <w:szCs w:val="32"/>
        </w:rPr>
      </w:pPr>
      <w:r>
        <w:rPr>
          <w:rFonts w:ascii="方正小标宋简体" w:hAnsi="黑体" w:eastAsia="方正小标宋简体" w:cs="仿宋"/>
          <w:color w:val="000000"/>
          <w:sz w:val="44"/>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方正小标宋简体" w:hAnsi="黑体" w:eastAsia="方正小标宋简体" w:cs="仿宋"/>
          <w:color w:val="000000"/>
          <w:sz w:val="44"/>
          <w:szCs w:val="32"/>
        </w:rPr>
      </w:pPr>
      <w:r>
        <w:rPr>
          <w:rFonts w:ascii="方正小标宋简体" w:hAnsi="黑体" w:eastAsia="方正小标宋简体" w:cs="仿宋"/>
          <w:color w:val="000000"/>
          <w:sz w:val="44"/>
          <w:szCs w:val="32"/>
        </w:rPr>
        <w:t>行政处罚决定书</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000000"/>
          <w:sz w:val="32"/>
          <w:szCs w:val="32"/>
        </w:rPr>
      </w:pPr>
      <w:r>
        <w:rPr>
          <w:rFonts w:ascii="仿宋" w:hAnsi="仿宋" w:eastAsia="仿宋" w:cs="仿宋"/>
          <w:color w:val="000000"/>
          <w:sz w:val="32"/>
          <w:szCs w:val="32"/>
          <w:u w:val="single"/>
        </w:rPr>
        <w:t>惠湾</w:t>
      </w:r>
      <w:r>
        <w:rPr>
          <w:rFonts w:ascii="仿宋" w:hAnsi="仿宋" w:eastAsia="仿宋" w:cs="仿宋"/>
          <w:color w:val="000000"/>
          <w:sz w:val="32"/>
          <w:szCs w:val="32"/>
        </w:rPr>
        <w:t>市监</w:t>
      </w:r>
      <w:r>
        <w:rPr>
          <w:rFonts w:ascii="仿宋" w:hAnsi="仿宋" w:eastAsia="仿宋" w:cs="仿宋"/>
          <w:color w:val="000000"/>
          <w:sz w:val="32"/>
          <w:szCs w:val="32"/>
          <w:u w:val="single"/>
        </w:rPr>
        <w:t>西处字</w:t>
      </w:r>
      <w:r>
        <w:rPr>
          <w:rFonts w:ascii="仿宋" w:hAnsi="仿宋" w:eastAsia="仿宋" w:cs="仿宋"/>
          <w:color w:val="000000"/>
          <w:sz w:val="32"/>
          <w:szCs w:val="32"/>
        </w:rPr>
        <w:t>〔</w:t>
      </w:r>
      <w:r>
        <w:rPr>
          <w:rFonts w:ascii="仿宋" w:hAnsi="仿宋" w:eastAsia="仿宋" w:cs="仿宋"/>
          <w:color w:val="000000"/>
          <w:sz w:val="32"/>
          <w:szCs w:val="32"/>
          <w:u w:val="single"/>
        </w:rPr>
        <w:t>202</w:t>
      </w:r>
      <w:r>
        <w:rPr>
          <w:rFonts w:hint="eastAsia" w:ascii="仿宋" w:hAnsi="仿宋" w:eastAsia="仿宋" w:cs="仿宋"/>
          <w:color w:val="000000"/>
          <w:sz w:val="32"/>
          <w:szCs w:val="32"/>
          <w:u w:val="single"/>
          <w:lang w:val="en-US" w:eastAsia="zh-CN"/>
        </w:rPr>
        <w:t>1</w:t>
      </w:r>
      <w:r>
        <w:rPr>
          <w:rFonts w:ascii="仿宋" w:hAnsi="仿宋" w:eastAsia="仿宋" w:cs="仿宋"/>
          <w:color w:val="000000"/>
          <w:sz w:val="32"/>
          <w:szCs w:val="32"/>
        </w:rPr>
        <w:t>〕</w:t>
      </w:r>
      <w:r>
        <w:rPr>
          <w:rFonts w:hint="eastAsia" w:ascii="仿宋" w:hAnsi="仿宋" w:eastAsia="仿宋" w:cs="仿宋"/>
          <w:color w:val="000000"/>
          <w:sz w:val="32"/>
          <w:szCs w:val="32"/>
          <w:u w:val="single"/>
          <w:lang w:val="en-US" w:eastAsia="zh-CN"/>
        </w:rPr>
        <w:t>2</w:t>
      </w:r>
      <w:r>
        <w:rPr>
          <w:rFonts w:ascii="仿宋" w:hAnsi="仿宋" w:eastAsia="仿宋" w:cs="仿宋"/>
          <w:color w:val="000000"/>
          <w:sz w:val="32"/>
          <w:szCs w:val="32"/>
        </w:rPr>
        <w:t>号</w:t>
      </w:r>
    </w:p>
    <w:p>
      <w:pPr>
        <w:snapToGrid w:val="0"/>
        <w:rPr>
          <w:rFonts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u w:val="single"/>
        </w:rPr>
      </w:pPr>
      <w:r>
        <w:rPr>
          <w:rFonts w:ascii="仿宋" w:hAnsi="仿宋" w:eastAsia="仿宋" w:cs="仿宋"/>
          <w:color w:val="000000"/>
          <w:sz w:val="32"/>
          <w:szCs w:val="32"/>
        </w:rPr>
        <w:t>当事人：</w:t>
      </w:r>
      <w:r>
        <w:rPr>
          <w:rFonts w:hint="eastAsia" w:ascii="仿宋" w:hAnsi="仿宋" w:eastAsia="仿宋" w:cs="仿宋"/>
          <w:color w:val="000000"/>
          <w:sz w:val="32"/>
          <w:szCs w:val="32"/>
          <w:u w:val="single"/>
        </w:rPr>
        <w:t>惠州大亚湾久旺纯净水厂</w:t>
      </w:r>
      <w:r>
        <w:rPr>
          <w:rFonts w:hint="eastAsia" w:ascii="仿宋" w:hAnsi="仿宋" w:eastAsia="仿宋" w:cs="仿宋"/>
          <w:color w:val="000000"/>
          <w:sz w:val="32"/>
          <w:szCs w:val="32"/>
          <w:u w:val="single"/>
          <w:lang w:val="en-US" w:eastAsia="zh-CN"/>
        </w:rPr>
        <w:t xml:space="preserve">        </w:t>
      </w:r>
      <w:r>
        <w:rPr>
          <w:rFonts w:ascii="仿宋" w:hAnsi="仿宋" w:eastAsia="仿宋" w:cs="仿宋"/>
          <w:color w:val="000000"/>
          <w:sz w:val="32"/>
          <w:szCs w:val="32"/>
          <w:u w:val="single"/>
        </w:rPr>
        <w:t xml:space="preserve">    </w:t>
      </w:r>
      <w:r>
        <w:rPr>
          <w:rFonts w:hint="eastAsia" w:ascii="仿宋" w:hAnsi="仿宋" w:eastAsia="仿宋" w:cs="仿宋"/>
          <w:color w:val="000000"/>
          <w:sz w:val="32"/>
          <w:szCs w:val="32"/>
          <w:u w:val="single"/>
          <w:lang w:val="en-US" w:eastAsia="zh-CN"/>
        </w:rPr>
        <w:t xml:space="preserve">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u w:val="single"/>
        </w:rPr>
      </w:pPr>
      <w:r>
        <w:rPr>
          <w:rFonts w:ascii="仿宋" w:hAnsi="仿宋" w:eastAsia="仿宋" w:cs="仿宋"/>
          <w:color w:val="000000"/>
          <w:sz w:val="32"/>
          <w:szCs w:val="32"/>
        </w:rPr>
        <w:t>主体资格证照名称：</w:t>
      </w:r>
      <w:r>
        <w:rPr>
          <w:rFonts w:ascii="仿宋" w:hAnsi="仿宋" w:eastAsia="仿宋" w:cs="仿宋"/>
          <w:color w:val="000000"/>
          <w:sz w:val="32"/>
          <w:szCs w:val="32"/>
          <w:u w:val="single"/>
        </w:rPr>
        <w:t xml:space="preserve">营业执照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u w:val="single"/>
        </w:rPr>
      </w:pPr>
      <w:r>
        <w:rPr>
          <w:rFonts w:ascii="仿宋" w:hAnsi="仿宋" w:eastAsia="仿宋" w:cs="仿宋"/>
          <w:color w:val="000000"/>
          <w:sz w:val="32"/>
          <w:szCs w:val="32"/>
        </w:rPr>
        <w:t>统一社会信用代码（注册号）：</w:t>
      </w:r>
      <w:r>
        <w:rPr>
          <w:rFonts w:hint="eastAsia" w:ascii="仿宋" w:hAnsi="仿宋" w:eastAsia="仿宋" w:cs="仿宋"/>
          <w:color w:val="000000"/>
          <w:sz w:val="32"/>
          <w:szCs w:val="32"/>
          <w:u w:val="single"/>
        </w:rPr>
        <w:t>9144130006150849XX</w:t>
      </w:r>
      <w:r>
        <w:rPr>
          <w:rFonts w:ascii="仿宋" w:hAnsi="仿宋" w:eastAsia="仿宋" w:cs="仿宋"/>
          <w:color w:val="000000"/>
          <w:sz w:val="32"/>
          <w:szCs w:val="32"/>
          <w:u w:val="single"/>
        </w:rPr>
        <w:t xml:space="preserve">       </w:t>
      </w:r>
      <w:r>
        <w:rPr>
          <w:rFonts w:hint="eastAsia" w:ascii="仿宋" w:hAnsi="仿宋" w:eastAsia="仿宋" w:cs="仿宋"/>
          <w:color w:val="000000"/>
          <w:sz w:val="32"/>
          <w:szCs w:val="32"/>
          <w:u w:val="single"/>
          <w:lang w:val="en-US" w:eastAsia="zh-CN"/>
        </w:rPr>
        <w:t xml:space="preserve">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rPr>
      </w:pPr>
      <w:r>
        <w:rPr>
          <w:rFonts w:hint="eastAsia" w:ascii="仿宋" w:hAnsi="仿宋" w:eastAsia="仿宋" w:cs="仿宋"/>
          <w:color w:val="000000"/>
          <w:sz w:val="32"/>
          <w:szCs w:val="32"/>
        </w:rPr>
        <w:t>住所（住址）：</w:t>
      </w:r>
      <w:r>
        <w:rPr>
          <w:rFonts w:hint="eastAsia" w:ascii="仿宋" w:hAnsi="仿宋" w:eastAsia="仿宋" w:cs="仿宋"/>
          <w:color w:val="000000"/>
          <w:sz w:val="32"/>
          <w:szCs w:val="32"/>
          <w:u w:val="single"/>
        </w:rPr>
        <w:t>惠州大亚湾西区工业园（维胜饮料公司厂房）</w:t>
      </w:r>
      <w:r>
        <w:rPr>
          <w:rFonts w:hint="eastAsia" w:ascii="仿宋" w:hAnsi="仿宋" w:eastAsia="仿宋" w:cs="仿宋"/>
          <w:color w:val="000000"/>
          <w:sz w:val="32"/>
          <w:szCs w:val="32"/>
          <w:u w:val="single"/>
          <w:lang w:val="en-US" w:eastAsia="zh-CN"/>
        </w:rPr>
        <w:t xml:space="preserve"> </w:t>
      </w:r>
      <w:r>
        <w:rPr>
          <w:rFonts w:hint="eastAsia" w:ascii="仿宋" w:hAnsi="仿宋" w:eastAsia="仿宋" w:cs="仿宋"/>
          <w:color w:val="000000"/>
          <w:sz w:val="32"/>
          <w:szCs w:val="32"/>
          <w:u w:val="single"/>
        </w:rPr>
        <w:t xml:space="preserve">    </w:t>
      </w:r>
      <w:r>
        <w:rPr>
          <w:rFonts w:ascii="仿宋" w:hAnsi="仿宋" w:eastAsia="仿宋" w:cs="仿宋"/>
          <w:color w:val="000000"/>
          <w:sz w:val="32"/>
          <w:szCs w:val="32"/>
          <w:u w:val="single"/>
        </w:rPr>
        <w:t xml:space="preserve">  </w:t>
      </w:r>
      <w:r>
        <w:rPr>
          <w:rFonts w:hint="eastAsia" w:ascii="仿宋" w:hAnsi="仿宋" w:eastAsia="仿宋" w:cs="仿宋"/>
          <w:color w:val="000000"/>
          <w:sz w:val="32"/>
          <w:szCs w:val="32"/>
          <w:u w:val="single"/>
          <w:lang w:val="en-US" w:eastAsia="zh-CN"/>
        </w:rPr>
        <w:t xml:space="preserve">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u w:val="single"/>
        </w:rPr>
      </w:pPr>
      <w:r>
        <w:rPr>
          <w:rFonts w:ascii="仿宋" w:hAnsi="仿宋" w:eastAsia="仿宋" w:cs="仿宋"/>
          <w:color w:val="000000"/>
          <w:sz w:val="32"/>
          <w:szCs w:val="32"/>
        </w:rPr>
        <w:t>法定代表人（负责人、</w:t>
      </w:r>
      <w:r>
        <w:rPr>
          <w:rFonts w:hint="eastAsia" w:ascii="仿宋" w:hAnsi="仿宋" w:eastAsia="仿宋" w:cs="仿宋"/>
          <w:color w:val="000000"/>
          <w:sz w:val="32"/>
          <w:szCs w:val="32"/>
          <w:lang w:eastAsia="zh-CN"/>
        </w:rPr>
        <w:t>投资人</w:t>
      </w:r>
      <w:r>
        <w:rPr>
          <w:rFonts w:ascii="仿宋" w:hAnsi="仿宋" w:eastAsia="仿宋" w:cs="仿宋"/>
          <w:color w:val="000000"/>
          <w:sz w:val="32"/>
          <w:szCs w:val="32"/>
        </w:rPr>
        <w:t>）：</w:t>
      </w:r>
      <w:r>
        <w:rPr>
          <w:rFonts w:hint="eastAsia" w:ascii="仿宋" w:hAnsi="仿宋" w:eastAsia="仿宋" w:cs="仿宋"/>
          <w:color w:val="000000"/>
          <w:sz w:val="32"/>
          <w:szCs w:val="32"/>
          <w:u w:val="single"/>
          <w:lang w:eastAsia="zh-CN"/>
        </w:rPr>
        <w:t>蔡光平</w:t>
      </w:r>
      <w:r>
        <w:rPr>
          <w:rFonts w:hint="eastAsia" w:ascii="仿宋" w:hAnsi="仿宋" w:eastAsia="仿宋" w:cs="仿宋"/>
          <w:color w:val="000000"/>
          <w:sz w:val="32"/>
          <w:szCs w:val="32"/>
          <w:u w:val="single"/>
          <w:lang w:val="en-US" w:eastAsia="zh-CN"/>
        </w:rPr>
        <w:t xml:space="preserve">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sz w:val="32"/>
          <w:szCs w:val="32"/>
          <w:u w:val="single"/>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u w:val="single"/>
        </w:rPr>
      </w:pPr>
      <w:bookmarkStart w:id="0" w:name="_GoBack"/>
      <w:bookmarkEnd w:id="0"/>
      <w:r>
        <w:rPr>
          <w:rFonts w:hint="eastAsia" w:ascii="仿宋" w:hAnsi="仿宋" w:eastAsia="仿宋" w:cs="仿宋"/>
          <w:color w:val="000000"/>
          <w:sz w:val="32"/>
          <w:szCs w:val="32"/>
          <w:u w:val="single"/>
          <w:lang w:val="en-US" w:eastAsia="zh-CN"/>
        </w:rPr>
        <w:t>2020年12月8日，西区所执法人员对位于惠州大亚湾西区工业园（维胜饮料公司厂房）的惠州大亚湾久旺纯净水厂依法进行检查，执法人员现场向当事人送达了《检验报告》（报告编号NO：食安2020-11-3142）和《检验结果告知书》（惠湾市监西检告字〔2020〕13号）。同时现场对该水厂发出《责令改正通知书》（惠湾市监西责改字〔2020〕252号），责令其停止生产不符合食品安全标准的饮用纯净水并对相关抽检不合格产品进行召回，现场检查时未发现与抽检不合格相同批次的饮用纯净水,该水厂能提供《营业执照》、《食品生产许可证》、抽检不合格产品生产销售记录及产品出厂检验报告等相关台账。经领导批准，我局于当日对当事人立案调查。</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hint="eastAsia" w:ascii="仿宋" w:hAnsi="仿宋" w:eastAsia="仿宋" w:cs="仿宋"/>
          <w:color w:val="000000"/>
          <w:sz w:val="32"/>
          <w:szCs w:val="32"/>
          <w:u w:val="single"/>
        </w:rPr>
      </w:pPr>
      <w:r>
        <w:rPr>
          <w:rFonts w:hint="eastAsia" w:ascii="仿宋" w:hAnsi="仿宋" w:eastAsia="仿宋" w:cs="仿宋"/>
          <w:color w:val="000000"/>
          <w:sz w:val="32"/>
          <w:szCs w:val="32"/>
          <w:u w:val="single"/>
        </w:rPr>
        <w:t xml:space="preserve">经查实，惠州大亚湾久旺纯净水厂于2020年11月14日生产了148桶久山泉饮用纯净水（规格型号：16.8L/桶）。上述桶装饮用水生产成本2.4元/桶，销售价2.7元/桶，除去自检2桶，抽检6桶（2.7元/桶），其余140桶（2.7元/桶）均已销售，除去成本共获利43.8元。2020年12月10日对该批次抽检不合格桶装饮用水进行召回，因该批次饮用水均已销售并使用，故无法对已销售的该批次不合格桶装饮用水进行召回，并于当日完成《不合格产品召回措施报告》。经其排查，上述抽检不合格桶装饮用水因更换新设备后，设备调试不到位导致用于灌装饮用水的桶消杀不到位，从而出现铜绿假单胞菌不符合GB19298-2014《食品安全国家标准 包装饮用水》标准要求，检验不合格。惠州大亚湾久旺纯净水厂提供了上述抽检不合格久山泉饮用纯净水（生产日期：2020年11月14日）的生产销售相关台账及出厂检验报告。据统计，该案违法所得43.8元，涉案货值金额394.2元。                                      </w:t>
      </w:r>
    </w:p>
    <w:p>
      <w:pPr>
        <w:keepNext w:val="0"/>
        <w:keepLines w:val="0"/>
        <w:pageBreakBefore w:val="0"/>
        <w:widowControl w:val="0"/>
        <w:kinsoku/>
        <w:wordWrap/>
        <w:overflowPunct/>
        <w:topLinePunct w:val="0"/>
        <w:autoSpaceDE/>
        <w:autoSpaceDN/>
        <w:bidi w:val="0"/>
        <w:adjustRightInd/>
        <w:snapToGrid w:val="0"/>
        <w:spacing w:line="560" w:lineRule="exact"/>
        <w:ind w:firstLine="640"/>
        <w:textAlignment w:val="auto"/>
        <w:rPr>
          <w:rFonts w:ascii="仿宋" w:hAnsi="仿宋" w:eastAsia="仿宋" w:cs="仿宋"/>
          <w:color w:val="000000"/>
          <w:sz w:val="32"/>
          <w:szCs w:val="32"/>
          <w:u w:val="single"/>
        </w:rPr>
      </w:pPr>
      <w:r>
        <w:rPr>
          <w:rFonts w:hint="eastAsia" w:ascii="仿宋" w:hAnsi="仿宋" w:eastAsia="仿宋" w:cs="仿宋"/>
          <w:color w:val="000000"/>
          <w:sz w:val="32"/>
          <w:szCs w:val="32"/>
          <w:u w:val="single"/>
        </w:rPr>
        <w:t xml:space="preserve">2020年12月16日，惠州大亚湾久旺纯净水厂向我局提供《整改报告》表示对抽检不合格饮用纯净水这一问题进行了原因排查，且进行了相应整改。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ascii="仿宋" w:hAnsi="仿宋" w:eastAsia="仿宋" w:cs="仿宋"/>
          <w:color w:val="000000"/>
          <w:sz w:val="32"/>
          <w:szCs w:val="32"/>
          <w:u w:val="single"/>
        </w:rPr>
      </w:pPr>
      <w:r>
        <w:rPr>
          <w:rFonts w:ascii="仿宋" w:hAnsi="仿宋" w:eastAsia="仿宋" w:cs="仿宋"/>
          <w:color w:val="000000"/>
          <w:sz w:val="32"/>
          <w:szCs w:val="32"/>
        </w:rPr>
        <w:t xml:space="preserve">    上述事实，主要有以下证据证明：</w:t>
      </w:r>
      <w:r>
        <w:rPr>
          <w:rFonts w:hint="eastAsia" w:ascii="仿宋" w:hAnsi="仿宋" w:eastAsia="仿宋" w:cs="仿宋"/>
          <w:color w:val="000000"/>
          <w:sz w:val="32"/>
          <w:szCs w:val="32"/>
          <w:u w:val="single"/>
        </w:rPr>
        <w:t>询问（调查）笔录、营业执照复印件、食品生产许可证复印件、投资人身份证复印件、食品抽样单、检验报告、不合格饮用纯净水《出厂检验报告》、《产品销售台账》、《不合格产品召回措施报告》、《整改报告》</w:t>
      </w:r>
      <w:r>
        <w:rPr>
          <w:rFonts w:ascii="仿宋" w:hAnsi="仿宋" w:eastAsia="仿宋" w:cs="仿宋"/>
          <w:color w:val="000000"/>
          <w:sz w:val="32"/>
          <w:szCs w:val="32"/>
          <w:u w:val="single"/>
        </w:rPr>
        <w:t xml:space="preserve">，事实清楚，证据确凿。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u w:val="single"/>
        </w:rPr>
      </w:pPr>
      <w:r>
        <w:rPr>
          <w:rFonts w:ascii="仿宋" w:hAnsi="仿宋" w:eastAsia="仿宋" w:cs="仿宋"/>
          <w:color w:val="000000"/>
          <w:sz w:val="32"/>
          <w:szCs w:val="32"/>
          <w:u w:val="single"/>
        </w:rPr>
        <w:t>本局于2020年</w:t>
      </w:r>
      <w:r>
        <w:rPr>
          <w:rFonts w:hint="eastAsia" w:ascii="仿宋" w:hAnsi="仿宋" w:eastAsia="仿宋" w:cs="仿宋"/>
          <w:color w:val="000000"/>
          <w:sz w:val="32"/>
          <w:szCs w:val="32"/>
          <w:u w:val="single"/>
          <w:lang w:val="en-US" w:eastAsia="zh-CN"/>
        </w:rPr>
        <w:t>12</w:t>
      </w:r>
      <w:r>
        <w:rPr>
          <w:rFonts w:ascii="仿宋" w:hAnsi="仿宋" w:eastAsia="仿宋" w:cs="仿宋"/>
          <w:color w:val="000000"/>
          <w:sz w:val="32"/>
          <w:szCs w:val="32"/>
          <w:u w:val="single"/>
        </w:rPr>
        <w:t>月</w:t>
      </w:r>
      <w:r>
        <w:rPr>
          <w:rFonts w:hint="eastAsia" w:ascii="仿宋" w:hAnsi="仿宋" w:eastAsia="仿宋" w:cs="仿宋"/>
          <w:color w:val="000000"/>
          <w:sz w:val="32"/>
          <w:szCs w:val="32"/>
          <w:u w:val="single"/>
          <w:lang w:val="en-US" w:eastAsia="zh-CN"/>
        </w:rPr>
        <w:t>28</w:t>
      </w:r>
      <w:r>
        <w:rPr>
          <w:rFonts w:ascii="仿宋" w:hAnsi="仿宋" w:eastAsia="仿宋" w:cs="仿宋"/>
          <w:color w:val="000000"/>
          <w:sz w:val="32"/>
          <w:szCs w:val="32"/>
          <w:u w:val="single"/>
        </w:rPr>
        <w:t>日向当事人送达《行政处罚告知书》（惠湾市监西告字〔2020〕</w:t>
      </w:r>
      <w:r>
        <w:rPr>
          <w:rFonts w:hint="eastAsia" w:ascii="仿宋" w:hAnsi="仿宋" w:eastAsia="仿宋" w:cs="仿宋"/>
          <w:color w:val="000000"/>
          <w:sz w:val="32"/>
          <w:szCs w:val="32"/>
          <w:u w:val="single"/>
          <w:lang w:val="en-US" w:eastAsia="zh-CN"/>
        </w:rPr>
        <w:t>153</w:t>
      </w:r>
      <w:r>
        <w:rPr>
          <w:rFonts w:ascii="仿宋" w:hAnsi="仿宋" w:eastAsia="仿宋" w:cs="仿宋"/>
          <w:color w:val="000000"/>
          <w:sz w:val="32"/>
          <w:szCs w:val="32"/>
          <w:u w:val="single"/>
        </w:rPr>
        <w:t xml:space="preserve">号），当事人在法定期限内没有提出陈述和申辩。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u w:val="single"/>
        </w:rPr>
      </w:pPr>
      <w:r>
        <w:rPr>
          <w:rFonts w:hint="eastAsia" w:ascii="仿宋" w:hAnsi="仿宋" w:eastAsia="仿宋" w:cs="仿宋"/>
          <w:color w:val="000000"/>
          <w:sz w:val="32"/>
          <w:szCs w:val="32"/>
          <w:u w:val="single"/>
        </w:rPr>
        <w:t>当事人生产经营不符合食品安全标准的饮用纯净水，违反了《中华人民共和国食品安全法》第三十四条第九项，即“ 禁止生产经营下列食品、食品添加剂、食品相关产品：（九）被包装材料、容器、运输工具等污染的食品、食品添加剂；”的规定。</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sz w:val="32"/>
          <w:szCs w:val="32"/>
          <w:u w:val="single"/>
        </w:rPr>
      </w:pPr>
      <w:r>
        <w:rPr>
          <w:rFonts w:hint="eastAsia" w:ascii="仿宋" w:hAnsi="仿宋" w:eastAsia="仿宋" w:cs="仿宋"/>
          <w:color w:val="000000"/>
          <w:sz w:val="32"/>
          <w:szCs w:val="32"/>
          <w:u w:val="single"/>
        </w:rPr>
        <w:t>依据《中华人民共和国食品安全法》第一百二十五条第一款第一项，即“违反本法规定，有下列情形之一的，由县级以上人民政府食品安全监督管理部门没收违法所得和违法生产经营的食品、食品添加剂，并可以没收用于违法生产经营的工具、设备、原料等物品；违法生产经营的食品、食品添加剂货值金额不足一万元的，并处五千元以上五万元以下罚款；货值金额一万元以上的，并处货值金额五倍以上十倍以下罚款；情节严重的，责令停产停业，直至吊销许可证：（一）生产经营被包装材料、容器、运输工具等污染的食品、食品添加剂；”的规定，</w:t>
      </w:r>
      <w:r>
        <w:rPr>
          <w:rFonts w:hint="eastAsia" w:ascii="仿宋" w:hAnsi="仿宋" w:eastAsia="仿宋" w:cs="仿宋"/>
          <w:color w:val="000000"/>
          <w:sz w:val="32"/>
          <w:szCs w:val="32"/>
          <w:u w:val="single"/>
          <w:lang w:eastAsia="zh-CN"/>
        </w:rPr>
        <w:t>决定</w:t>
      </w:r>
      <w:r>
        <w:rPr>
          <w:rFonts w:hint="eastAsia" w:ascii="仿宋" w:hAnsi="仿宋" w:eastAsia="仿宋" w:cs="仿宋"/>
          <w:color w:val="000000"/>
          <w:sz w:val="32"/>
          <w:szCs w:val="32"/>
          <w:u w:val="single"/>
        </w:rPr>
        <w:t>责令</w:t>
      </w:r>
      <w:r>
        <w:rPr>
          <w:rFonts w:hint="eastAsia" w:ascii="仿宋" w:hAnsi="仿宋" w:eastAsia="仿宋" w:cs="仿宋"/>
          <w:color w:val="000000"/>
          <w:sz w:val="32"/>
          <w:szCs w:val="32"/>
          <w:u w:val="single"/>
          <w:lang w:eastAsia="zh-CN"/>
        </w:rPr>
        <w:t>当事人立即</w:t>
      </w:r>
      <w:r>
        <w:rPr>
          <w:rFonts w:hint="eastAsia" w:ascii="仿宋" w:hAnsi="仿宋" w:eastAsia="仿宋" w:cs="仿宋"/>
          <w:color w:val="000000"/>
          <w:sz w:val="32"/>
          <w:szCs w:val="32"/>
          <w:u w:val="single"/>
        </w:rPr>
        <w:t xml:space="preserve">改正违法行为，并对当事人作如下行政处罚：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color w:val="000000"/>
          <w:sz w:val="32"/>
          <w:szCs w:val="32"/>
          <w:u w:val="single"/>
        </w:rPr>
      </w:pPr>
      <w:r>
        <w:rPr>
          <w:rFonts w:hint="eastAsia" w:ascii="仿宋" w:hAnsi="仿宋" w:eastAsia="仿宋" w:cs="仿宋"/>
          <w:color w:val="000000"/>
          <w:sz w:val="32"/>
          <w:szCs w:val="32"/>
          <w:u w:val="single"/>
        </w:rPr>
        <w:t xml:space="preserve">一、没收违法所得人民币肆拾叁元捌角（¥43.8）；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u w:val="single"/>
        </w:rPr>
      </w:pPr>
      <w:r>
        <w:rPr>
          <w:rFonts w:hint="eastAsia" w:ascii="仿宋" w:hAnsi="仿宋" w:eastAsia="仿宋" w:cs="仿宋"/>
          <w:color w:val="000000"/>
          <w:sz w:val="32"/>
          <w:szCs w:val="32"/>
          <w:u w:val="single"/>
        </w:rPr>
        <w:t xml:space="preserve">二、罚款人民币贰万元整（¥20000.00)。                                                                               </w:t>
      </w:r>
      <w:r>
        <w:rPr>
          <w:rFonts w:ascii="仿宋" w:hAnsi="仿宋" w:eastAsia="仿宋" w:cs="仿宋"/>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u w:val="single"/>
        </w:rPr>
      </w:pPr>
      <w:r>
        <w:rPr>
          <w:rFonts w:ascii="仿宋" w:hAnsi="仿宋" w:eastAsia="仿宋" w:cs="仿宋"/>
          <w:color w:val="000000"/>
          <w:sz w:val="32"/>
          <w:szCs w:val="32"/>
          <w:u w:val="single"/>
        </w:rPr>
        <w:t xml:space="preserve">当事人应自接到本处罚决定书之日起15日到惠州大亚湾建设银行、工商银行或农业银行的其中一间银行缴纳罚款，或者使用本局的POS机刷卡缴纳罚款。逾期不缴纳罚款的，根据《中华人民共和国行政处罚法》第五十一条的规定，每日按罚款数额的3%加处罚款，并依法申请人民法院强制执行。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仿宋" w:hAnsi="仿宋" w:eastAsia="仿宋" w:cs="仿宋"/>
          <w:color w:val="000000"/>
          <w:sz w:val="32"/>
          <w:szCs w:val="32"/>
        </w:rPr>
      </w:pPr>
      <w:r>
        <w:rPr>
          <w:rFonts w:ascii="仿宋" w:hAnsi="仿宋" w:eastAsia="仿宋" w:cs="仿宋"/>
          <w:color w:val="000000"/>
          <w:sz w:val="32"/>
          <w:szCs w:val="32"/>
          <w:u w:val="single"/>
        </w:rPr>
        <w:t xml:space="preserve">如不服从本处罚决定，可在接到本处罚决定书之日起60日内向惠州市市场监督管理局或惠州大亚湾经济技术开发区管理委员会申请行政复议，也可以于6个月内向博罗县人民法院提起行政诉讼。                                                            </w:t>
      </w:r>
    </w:p>
    <w:p>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ascii="仿宋" w:hAnsi="仿宋" w:eastAsia="仿宋" w:cs="仿宋"/>
          <w:color w:val="000000"/>
          <w:sz w:val="32"/>
          <w:szCs w:val="32"/>
        </w:rPr>
      </w:pPr>
      <w:r>
        <w:rPr>
          <w:rFonts w:hint="eastAsia" w:ascii="仿宋" w:hAnsi="仿宋" w:eastAsia="仿宋" w:cs="仿宋"/>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60" w:lineRule="exact"/>
        <w:ind w:firstLine="5440" w:firstLineChars="1700"/>
        <w:textAlignment w:val="auto"/>
        <w:rPr>
          <w:rFonts w:ascii="仿宋" w:hAnsi="仿宋" w:eastAsia="仿宋" w:cs="仿宋"/>
          <w:color w:val="000000"/>
          <w:sz w:val="32"/>
          <w:szCs w:val="32"/>
        </w:rPr>
      </w:pPr>
      <w:r>
        <w:rPr>
          <w:rFonts w:hint="eastAsia" w:ascii="仿宋" w:hAnsi="仿宋" w:eastAsia="仿宋" w:cs="仿宋"/>
          <w:color w:val="000000"/>
          <w:sz w:val="32"/>
          <w:szCs w:val="32"/>
        </w:rPr>
        <w:t>（印</w:t>
      </w:r>
      <w:r>
        <w:rPr>
          <w:rFonts w:ascii="仿宋" w:hAnsi="仿宋" w:eastAsia="仿宋" w:cs="仿宋"/>
          <w:color w:val="000000"/>
          <w:sz w:val="32"/>
          <w:szCs w:val="32"/>
        </w:rPr>
        <w:t xml:space="preserve"> 章）</w:t>
      </w:r>
    </w:p>
    <w:p>
      <w:pPr>
        <w:keepNext w:val="0"/>
        <w:keepLines w:val="0"/>
        <w:pageBreakBefore w:val="0"/>
        <w:widowControl w:val="0"/>
        <w:kinsoku/>
        <w:wordWrap/>
        <w:overflowPunct/>
        <w:topLinePunct w:val="0"/>
        <w:autoSpaceDE/>
        <w:autoSpaceDN/>
        <w:bidi w:val="0"/>
        <w:adjustRightInd/>
        <w:snapToGrid w:val="0"/>
        <w:spacing w:line="560" w:lineRule="exact"/>
        <w:ind w:firstLine="4800" w:firstLineChars="1500"/>
        <w:textAlignment w:val="auto"/>
        <w:rPr>
          <w:rFonts w:ascii="仿宋" w:hAnsi="仿宋" w:eastAsia="仿宋" w:cs="仿宋"/>
          <w:color w:val="000000"/>
          <w:sz w:val="32"/>
          <w:szCs w:val="32"/>
        </w:rPr>
      </w:pPr>
      <w:r>
        <w:rPr>
          <w:rFonts w:ascii="仿宋" w:hAnsi="仿宋" w:eastAsia="仿宋" w:cs="仿宋"/>
          <w:color w:val="000000"/>
          <w:sz w:val="32"/>
          <w:szCs w:val="32"/>
        </w:rPr>
        <w:t>202</w:t>
      </w:r>
      <w:r>
        <w:rPr>
          <w:rFonts w:hint="eastAsia" w:ascii="仿宋" w:hAnsi="仿宋" w:eastAsia="仿宋" w:cs="仿宋"/>
          <w:color w:val="000000"/>
          <w:sz w:val="32"/>
          <w:szCs w:val="32"/>
          <w:lang w:val="en-US" w:eastAsia="zh-CN"/>
        </w:rPr>
        <w:t>1</w:t>
      </w:r>
      <w:r>
        <w:rPr>
          <w:rFonts w:ascii="仿宋" w:hAnsi="仿宋" w:eastAsia="仿宋" w:cs="仿宋"/>
          <w:color w:val="000000"/>
          <w:sz w:val="32"/>
          <w:szCs w:val="32"/>
        </w:rPr>
        <w:t>年</w:t>
      </w:r>
      <w:r>
        <w:rPr>
          <w:rFonts w:hint="eastAsia" w:ascii="仿宋" w:hAnsi="仿宋" w:eastAsia="仿宋" w:cs="仿宋"/>
          <w:color w:val="000000"/>
          <w:sz w:val="32"/>
          <w:szCs w:val="32"/>
          <w:lang w:val="en-US" w:eastAsia="zh-CN"/>
        </w:rPr>
        <w:t>1</w:t>
      </w:r>
      <w:r>
        <w:rPr>
          <w:rFonts w:ascii="仿宋" w:hAnsi="仿宋" w:eastAsia="仿宋" w:cs="仿宋"/>
          <w:color w:val="000000"/>
          <w:sz w:val="32"/>
          <w:szCs w:val="32"/>
        </w:rPr>
        <w:t>月</w:t>
      </w:r>
      <w:r>
        <w:rPr>
          <w:rFonts w:hint="eastAsia" w:ascii="仿宋" w:hAnsi="仿宋" w:eastAsia="仿宋" w:cs="仿宋"/>
          <w:color w:val="000000"/>
          <w:sz w:val="32"/>
          <w:szCs w:val="32"/>
          <w:lang w:val="en-US" w:eastAsia="zh-CN"/>
        </w:rPr>
        <w:t>4</w:t>
      </w:r>
      <w:r>
        <w:rPr>
          <w:rFonts w:ascii="仿宋" w:hAnsi="仿宋" w:eastAsia="仿宋" w:cs="仿宋"/>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ascii="黑体" w:hAnsi="黑体" w:eastAsia="黑体"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ascii="黑体" w:hAnsi="黑体" w:eastAsia="黑体"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ascii="黑体" w:hAnsi="黑体" w:eastAsia="黑体"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ascii="Times New Roman" w:hAnsi="Times New Roman" w:eastAsia="仿宋_GB2312" w:cs="仿宋"/>
          <w:color w:val="000000"/>
          <w:sz w:val="32"/>
          <w:szCs w:val="32"/>
        </w:rPr>
      </w:pPr>
      <w:r>
        <w:rPr>
          <w:rFonts w:ascii="黑体" w:hAnsi="黑体" w:eastAsia="黑体" w:cs="仿宋"/>
          <w:color w:val="000000"/>
          <w:sz w:val="32"/>
          <w:szCs w:val="32"/>
        </w:rPr>
        <w:t>（市场监督管理部门将依法向社会公示本行政处罚决定信息）</w:t>
      </w:r>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0288" behindDoc="0" locked="0" layoutInCell="1" allowOverlap="1">
                <wp:simplePos x="0" y="0"/>
                <wp:positionH relativeFrom="column">
                  <wp:posOffset>29210</wp:posOffset>
                </wp:positionH>
                <wp:positionV relativeFrom="paragraph">
                  <wp:posOffset>-16510</wp:posOffset>
                </wp:positionV>
                <wp:extent cx="5550535" cy="635"/>
                <wp:effectExtent l="0" t="0" r="31115" b="37465"/>
                <wp:wrapNone/>
                <wp:docPr id="24" name="直接连接符 24"/>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2.3pt;margin-top:-1.3pt;height:0.05pt;width:437.05pt;z-index:251660288;mso-width-relative:page;mso-height-relative:page;" filled="f" stroked="t" coordsize="21600,21600" o:gfxdata="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Rk3ENdYAAAAHAQAADwAAAAAAAAABACAAAAAi&#10;AAAAZHJzL2Rvd25yZXYueG1sUEsBAhQAFAAAAAgAh07iQEl1PoPTAQAAjwMAAA4AAAAAAAAAAQAg&#10;AAAAJQEAAGRycy9lMm9Eb2MueG1sUEsFBgAAAAAGAAYAWQEAAGoFAAAAAA==&#10;">
                <v:fill on="f" focussize="0,0"/>
                <v:stroke weight="1.25pt" color="#000000" joinstyle="round"/>
                <v:imagedata o:title=""/>
                <o:lock v:ext="edit" aspectratio="f"/>
              </v:line>
            </w:pict>
          </mc:Fallback>
        </mc:AlternateContent>
      </w: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7" name="直接连接符 27"/>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vv85HXAAAACgEAAA8AAAAAAAAAAQAg&#10;AAAAIgAAAGRycy9kb3ducmV2LnhtbFBLAQIUABQAAAAIAIdO4kDFvC8a1gEAAI0DAAAOAAAAAAAA&#10;AAEAIAAAACYBAABkcnMvZTJvRG9jLnhtbFBLBQYAAAAABgAGAFkBAABuBQ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 xml:space="preserve"> 二 </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 xml:space="preserve"> 一 </w:t>
      </w:r>
      <w:r>
        <w:rPr>
          <w:rFonts w:hint="eastAsia" w:ascii="Times New Roman" w:hAnsi="Times New Roman" w:eastAsia="仿宋_GB2312" w:cs="仿宋"/>
          <w:color w:val="000000"/>
          <w:sz w:val="32"/>
          <w:szCs w:val="32"/>
        </w:rPr>
        <w:t>份送达，一份归档</w:t>
      </w:r>
    </w:p>
    <w:sectPr>
      <w:footerReference r:id="rId3" w:type="default"/>
      <w:pgSz w:w="12240" w:h="15840"/>
      <w:pgMar w:top="1440" w:right="1502" w:bottom="1440" w:left="1502" w:header="709"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eastAsia="宋体"/>
        <w:sz w:val="28"/>
      </w:rPr>
    </w:pPr>
    <w:r>
      <w:rPr>
        <w:rFonts w:ascii="宋体" w:hAnsi="宋体" w:eastAsia="宋体"/>
        <w:sz w:val="28"/>
      </w:rPr>
      <w:t xml:space="preserve">第 </w:t>
    </w:r>
    <w:r>
      <w:rPr>
        <w:rFonts w:ascii="宋体" w:hAnsi="宋体" w:eastAsia="宋体"/>
        <w:sz w:val="28"/>
      </w:rPr>
      <w:fldChar w:fldCharType="begin"/>
    </w:r>
    <w:r>
      <w:rPr>
        <w:rFonts w:ascii="宋体" w:hAnsi="宋体" w:eastAsia="宋体"/>
        <w:sz w:val="28"/>
      </w:rPr>
      <w:instrText xml:space="preserve"> page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 xml:space="preserve"> 页 共 </w:t>
    </w:r>
    <w:r>
      <w:rPr>
        <w:rFonts w:ascii="宋体" w:hAnsi="宋体" w:eastAsia="宋体"/>
        <w:sz w:val="28"/>
      </w:rPr>
      <w:fldChar w:fldCharType="begin"/>
    </w:r>
    <w:r>
      <w:rPr>
        <w:rFonts w:ascii="宋体" w:hAnsi="宋体" w:eastAsia="宋体"/>
        <w:sz w:val="28"/>
      </w:rPr>
      <w:instrText xml:space="preserve"> Numpages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8"/>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27A"/>
    <w:rsid w:val="00005F38"/>
    <w:rsid w:val="00086CCC"/>
    <w:rsid w:val="0009030A"/>
    <w:rsid w:val="000C4778"/>
    <w:rsid w:val="001364C8"/>
    <w:rsid w:val="001711CB"/>
    <w:rsid w:val="001D0873"/>
    <w:rsid w:val="002934F3"/>
    <w:rsid w:val="002E2A25"/>
    <w:rsid w:val="00312A82"/>
    <w:rsid w:val="003722EB"/>
    <w:rsid w:val="00423F69"/>
    <w:rsid w:val="00484CFD"/>
    <w:rsid w:val="0059123F"/>
    <w:rsid w:val="005C454D"/>
    <w:rsid w:val="00840958"/>
    <w:rsid w:val="008B1192"/>
    <w:rsid w:val="00972237"/>
    <w:rsid w:val="00A13537"/>
    <w:rsid w:val="00A439E6"/>
    <w:rsid w:val="00AC7719"/>
    <w:rsid w:val="00C5074F"/>
    <w:rsid w:val="00C605F7"/>
    <w:rsid w:val="00C75629"/>
    <w:rsid w:val="00C87268"/>
    <w:rsid w:val="00CA11AE"/>
    <w:rsid w:val="00D465AF"/>
    <w:rsid w:val="00D70DB9"/>
    <w:rsid w:val="00DC227A"/>
    <w:rsid w:val="00E23D17"/>
    <w:rsid w:val="00F50758"/>
    <w:rsid w:val="0F142263"/>
    <w:rsid w:val="13D97975"/>
    <w:rsid w:val="17F54879"/>
    <w:rsid w:val="1E987654"/>
    <w:rsid w:val="2373059D"/>
    <w:rsid w:val="253627F0"/>
    <w:rsid w:val="28CE6638"/>
    <w:rsid w:val="3E4A6077"/>
    <w:rsid w:val="414A628B"/>
    <w:rsid w:val="440A2F16"/>
    <w:rsid w:val="4CEF2B67"/>
    <w:rsid w:val="4EEC1838"/>
    <w:rsid w:val="4F5749DF"/>
    <w:rsid w:val="590342D7"/>
    <w:rsid w:val="5E8061FE"/>
    <w:rsid w:val="6F745CA6"/>
    <w:rsid w:val="71201CF1"/>
    <w:rsid w:val="74B8193A"/>
    <w:rsid w:val="7D8273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widowControl/>
      <w:tabs>
        <w:tab w:val="center" w:pos="4320"/>
        <w:tab w:val="right" w:pos="8640"/>
      </w:tabs>
      <w:snapToGrid w:val="0"/>
      <w:spacing w:after="160"/>
      <w:jc w:val="left"/>
    </w:pPr>
    <w:rPr>
      <w:rFonts w:asciiTheme="minorHAnsi" w:hAnsiTheme="minorHAnsi" w:eastAsiaTheme="minorEastAsia" w:cstheme="minorBidi"/>
      <w:kern w:val="0"/>
      <w:sz w:val="18"/>
      <w:szCs w:val="18"/>
    </w:rPr>
  </w:style>
  <w:style w:type="paragraph" w:styleId="3">
    <w:name w:val="header"/>
    <w:basedOn w:val="1"/>
    <w:link w:val="6"/>
    <w:unhideWhenUsed/>
    <w:qFormat/>
    <w:uiPriority w:val="99"/>
    <w:pPr>
      <w:widowControl/>
      <w:tabs>
        <w:tab w:val="center" w:pos="4320"/>
        <w:tab w:val="right" w:pos="8640"/>
      </w:tabs>
      <w:snapToGrid w:val="0"/>
      <w:spacing w:after="160"/>
      <w:jc w:val="center"/>
    </w:pPr>
    <w:rPr>
      <w:rFonts w:asciiTheme="minorHAnsi" w:hAnsiTheme="minorHAnsi" w:eastAsiaTheme="minorEastAsia" w:cstheme="minorBidi"/>
      <w:kern w:val="0"/>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458</Words>
  <Characters>2617</Characters>
  <Lines>21</Lines>
  <Paragraphs>6</Paragraphs>
  <TotalTime>15</TotalTime>
  <ScaleCrop>false</ScaleCrop>
  <LinksUpToDate>false</LinksUpToDate>
  <CharactersWithSpaces>3069</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2020-09-23T10:50:00Z</dcterms:created>
  <dc:creator>Zhu Guanwei</dc:creator>
  <cp:lastModifiedBy>Administrator</cp:lastModifiedBy>
  <cp:lastPrinted>2020-12-28T03:37:00Z</cp:lastPrinted>
  <dcterms:modified xsi:type="dcterms:W3CDTF">2021-03-03T01:18:56Z</dcterms:modified>
  <dc:title>惠州大亚湾经济技术开发区市场监督管理局</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