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宋体" w:hAnsi="宋体"/>
          <w:sz w:val="28"/>
          <w:szCs w:val="28"/>
        </w:rPr>
      </w:pPr>
      <w:bookmarkStart w:id="0" w:name="_Toc167634119"/>
      <w:bookmarkStart w:id="1" w:name="_Toc167634190"/>
      <w:bookmarkStart w:id="2" w:name="_Toc167634861"/>
      <w:bookmarkStart w:id="3" w:name="_Toc167634890"/>
      <w:bookmarkStart w:id="4" w:name="_Toc168279399"/>
      <w:bookmarkStart w:id="5" w:name="_Toc229881820"/>
      <w:bookmarkStart w:id="6" w:name="_Toc229881873"/>
    </w:p>
    <w:p>
      <w:pPr>
        <w:rPr>
          <w:rFonts w:ascii="宋体" w:hAnsi="宋体"/>
          <w:sz w:val="28"/>
          <w:szCs w:val="28"/>
        </w:rPr>
      </w:pPr>
      <w: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  <w:pict>
          <v:shape id="图片 2" o:spid="_x0000_s1026" type="#_x0000_t75" style="position:absolute;left:0;margin-left:307.5pt;margin-top:9.6pt;height:93.6pt;width:99pt;rotation:0f;z-index:251661312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</v:shape>
        </w:pict>
      </w:r>
    </w:p>
    <w:p>
      <w:pPr>
        <w:rPr>
          <w:rFonts w:ascii="宋体" w:hAnsi="宋体"/>
          <w:sz w:val="28"/>
          <w:szCs w:val="28"/>
        </w:rPr>
      </w:pPr>
    </w:p>
    <w:p>
      <w:pPr>
        <w:ind w:left="5880" w:hanging="5880" w:hangingChars="2100"/>
        <w:rPr>
          <w:rFonts w:ascii="宋体" w:hAnsi="宋体"/>
          <w:sz w:val="84"/>
          <w:szCs w:val="84"/>
        </w:rPr>
      </w:pPr>
      <w:r>
        <w:rPr>
          <w:rFonts w:ascii="宋体" w:hAnsi="宋体"/>
          <w:sz w:val="28"/>
          <w:szCs w:val="28"/>
        </w:rPr>
        <w:t xml:space="preserve">                              </w:t>
      </w:r>
      <w:r>
        <w:rPr>
          <w:rFonts w:ascii="宋体" w:hAnsi="宋体"/>
          <w:sz w:val="84"/>
          <w:szCs w:val="84"/>
        </w:rPr>
        <w:t xml:space="preserve">           </w:t>
      </w:r>
    </w:p>
    <w:p>
      <w:pPr>
        <w:ind w:left="17640" w:leftChars="2800" w:hanging="11760" w:hangingChars="1400"/>
        <w:rPr>
          <w:rFonts w:ascii="宋体" w:hAnsi="宋体"/>
          <w:sz w:val="84"/>
          <w:szCs w:val="84"/>
        </w:rPr>
      </w:pPr>
      <w:r>
        <w:rPr>
          <w:rFonts w:hint="eastAsia" w:ascii="宋体" w:hAnsi="宋体"/>
          <w:sz w:val="84"/>
          <w:szCs w:val="84"/>
        </w:rPr>
        <w:t xml:space="preserve"> 2014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 w:eastAsia="宋体" w:cs="Times New Roman"/>
          <w:kern w:val="2"/>
          <w:sz w:val="21"/>
          <w:lang w:val="en-US" w:eastAsia="zh-CN" w:bidi="ar-SA"/>
        </w:rPr>
        <w:pict>
          <v:line id="Line 3" o:spid="_x0000_s1027" style="position:absolute;left:0;margin-left:0pt;margin-top:3.9pt;height:0.05pt;width:423pt;rotation:0f;z-index:251660288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ind w:left="6300" w:hanging="6300" w:hangingChars="2250"/>
        <w:rPr>
          <w:rFonts w:ascii="创艺简标宋" w:hAnsi="创艺简标宋" w:eastAsia="创艺简标宋" w:cs="创艺简标宋"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  <w:r>
        <w:rPr>
          <w:rFonts w:hint="eastAsia" w:ascii="创艺简标宋" w:hAnsi="创艺简标宋" w:eastAsia="创艺简标宋" w:cs="创艺简标宋"/>
          <w:sz w:val="28"/>
          <w:szCs w:val="28"/>
        </w:rPr>
        <w:t xml:space="preserve">   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大亚湾经济技术开发区</w:t>
      </w:r>
    </w:p>
    <w:p>
      <w:pPr>
        <w:rPr>
          <w:rFonts w:ascii="创艺简标宋" w:hAnsi="创艺简标宋" w:eastAsia="创艺简标宋" w:cs="创艺简标宋"/>
          <w:sz w:val="52"/>
          <w:szCs w:val="52"/>
        </w:rPr>
      </w:pPr>
      <w:r>
        <w:rPr>
          <w:rFonts w:hint="eastAsia" w:ascii="创艺简标宋" w:hAnsi="创艺简标宋" w:eastAsia="创艺简标宋" w:cs="创艺简标宋"/>
          <w:sz w:val="72"/>
          <w:szCs w:val="72"/>
        </w:rPr>
        <w:t xml:space="preserve">    </w:t>
      </w:r>
      <w:r>
        <w:rPr>
          <w:rFonts w:hint="eastAsia" w:ascii="创艺简标宋" w:hAnsi="创艺简标宋" w:eastAsia="创艺简标宋" w:cs="创艺简标宋"/>
          <w:sz w:val="52"/>
          <w:szCs w:val="52"/>
        </w:rPr>
        <w:t xml:space="preserve">          环境质量状况公报</w:t>
      </w:r>
    </w:p>
    <w:p>
      <w:pPr>
        <w:ind w:left="6300" w:hanging="6300" w:hangingChars="2250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                        </w:t>
      </w:r>
      <w:r>
        <w:rPr>
          <w:rFonts w:hint="eastAsia" w:ascii="宋体" w:hAnsi="宋体"/>
          <w:sz w:val="36"/>
          <w:szCs w:val="36"/>
        </w:rPr>
        <w:t xml:space="preserve">          </w:t>
      </w:r>
    </w:p>
    <w:p>
      <w:pPr>
        <w:ind w:left="8132" w:hanging="8132" w:hangingChars="2250"/>
        <w:rPr>
          <w:rFonts w:ascii="宋体" w:hAnsi="宋体"/>
          <w:b/>
          <w:sz w:val="36"/>
          <w:szCs w:val="36"/>
        </w:rPr>
      </w:pPr>
    </w:p>
    <w:p>
      <w:pPr>
        <w:ind w:left="8132" w:hanging="8132" w:hangingChars="2250"/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b/>
          <w:sz w:val="36"/>
          <w:szCs w:val="36"/>
        </w:rPr>
      </w:pPr>
    </w:p>
    <w:p>
      <w:pPr>
        <w:rPr>
          <w:rFonts w:ascii="宋体" w:hAnsi="宋体"/>
          <w:sz w:val="36"/>
          <w:szCs w:val="36"/>
        </w:rPr>
      </w:pPr>
    </w:p>
    <w:p>
      <w:pPr>
        <w:ind w:firstLine="2866" w:firstLineChars="796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     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  大亚湾区环境保护局</w:t>
      </w:r>
    </w:p>
    <w:p>
      <w:pPr>
        <w:ind w:firstLine="2877" w:firstLineChars="796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                二○一五年五月</w:t>
      </w:r>
    </w:p>
    <w:p>
      <w:pPr>
        <w:ind w:firstLine="2877" w:firstLineChars="796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第一部分  监测概况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2014年，大亚湾区环境监测站开展了环境空气、饮用水源、地表河流、区域噪声、交通噪声、海水等常规环境质量监测工作。</w:t>
      </w:r>
    </w:p>
    <w:p>
      <w:pPr>
        <w:spacing w:line="360" w:lineRule="auto"/>
        <w:ind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一、监测点位及监测项目</w:t>
      </w:r>
    </w:p>
    <w:p>
      <w:pPr>
        <w:spacing w:line="360" w:lineRule="auto"/>
        <w:ind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（一）环境空气</w:t>
      </w:r>
    </w:p>
    <w:p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2014年，大亚湾区共设环境空气自动监测点位3个，分别位于区管委会、石化区环保监控中心、霞涌中学。监测项目包括二氧化硫、二氧化氮、可吸入颗粒物（PM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）等基本因子和C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-C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有机物、有机硫化物等多种污染物因子。</w:t>
      </w:r>
    </w:p>
    <w:p>
      <w:pPr>
        <w:spacing w:line="360" w:lineRule="auto"/>
        <w:ind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（二）水环境</w:t>
      </w:r>
    </w:p>
    <w:p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2014年，我区开展饮用水源、地表河流、海域水质监测。地表水监测点位包括风田水库、坪山河等；海域监测点位包括近岸海域、石化区排污口海域。    </w:t>
      </w:r>
    </w:p>
    <w:p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（1）地表水监测项目：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水温、pH值、溶解氧、高锰酸盐指数、五日生化需氧量、化学需氧量、氨氮、总氮、总磷、铜、锌、氟化物、硒、汞、铅、镉、铁、氰化物、石油类、六价铬、硫化物、阴离子表面活性剂、粪大肠菌、硫酸盐、氯化物、挥发酚、硝酸盐、铁、锰、叶绿素等。  </w:t>
      </w:r>
    </w:p>
    <w:p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（2）</w:t>
      </w:r>
      <w:r>
        <w:rPr>
          <w:rFonts w:hint="eastAsia" w:ascii="仿宋_GB2312" w:hAnsi="仿宋_GB2312" w:eastAsia="仿宋_GB2312" w:cs="仿宋_GB2312"/>
          <w:sz w:val="28"/>
          <w:szCs w:val="28"/>
        </w:rPr>
        <w:t>海水监测项目：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水温、盐度、透明度（cm）、pH值、悬浮物、溶解氧、化学需氧量、石油类、无机氮（氨氮、亚硝酸盐氮、硝酸盐氮）、非离子氨、活性磷酸盐、BOD5、硫化物、苯、甲苯、二甲苯、乙苯、苯乙烯、氰化物、挥发酚、苯并（a）芘、镉、铬、汞、砷、铜、铅、锌等。</w:t>
      </w:r>
    </w:p>
    <w:p>
      <w:pPr>
        <w:spacing w:line="36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（三）声环境</w:t>
      </w:r>
    </w:p>
    <w:p>
      <w:pPr>
        <w:spacing w:line="360" w:lineRule="auto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2014年，我区开展区域环境噪声、交通干线噪声监测。其中，区域噪声监测点位64个，交通干线噪声监测点位16个。</w:t>
      </w:r>
    </w:p>
    <w:p>
      <w:pPr>
        <w:spacing w:line="36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二、质量管理与资质认定</w:t>
      </w:r>
    </w:p>
    <w:p>
      <w:pPr>
        <w:spacing w:line="36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（一）质量管理情况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大亚湾区环境监测站贯彻落实环境监测质量管理规定，重点抓好质量管理工作，较好的保障了监测数据的代表性、准确性。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一是</w:t>
      </w:r>
      <w:r>
        <w:rPr>
          <w:rFonts w:hint="eastAsia" w:ascii="仿宋_GB2312" w:hAnsi="仿宋_GB2312" w:eastAsia="仿宋_GB2312" w:cs="仿宋_GB2312"/>
          <w:sz w:val="28"/>
          <w:szCs w:val="28"/>
        </w:rPr>
        <w:t>监测人员100%持证上岗；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二是</w:t>
      </w:r>
      <w:r>
        <w:rPr>
          <w:rFonts w:hint="eastAsia" w:ascii="仿宋_GB2312" w:hAnsi="仿宋_GB2312" w:eastAsia="仿宋_GB2312" w:cs="仿宋_GB2312"/>
          <w:sz w:val="28"/>
          <w:szCs w:val="28"/>
        </w:rPr>
        <w:t>加强现场采样质量控制，每批样品均采集空白、平行样，实验室定期考核标准样品；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三是</w:t>
      </w:r>
      <w:r>
        <w:rPr>
          <w:rFonts w:hint="eastAsia" w:ascii="仿宋_GB2312" w:hAnsi="仿宋_GB2312" w:eastAsia="仿宋_GB2312" w:cs="仿宋_GB2312"/>
          <w:sz w:val="28"/>
          <w:szCs w:val="28"/>
        </w:rPr>
        <w:t>仪器设备按要求进行了检定、核查及校准，保证仪器在有效期内使用并保证量值的溯源性；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四是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严格按国家和环境保护行业规范标准开展监测工作。  </w:t>
      </w:r>
    </w:p>
    <w:p>
      <w:pPr>
        <w:spacing w:line="360" w:lineRule="auto"/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（二）实验室资质认定情况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color w:val="FF0000"/>
          <w:sz w:val="28"/>
          <w:szCs w:val="28"/>
        </w:rPr>
        <w:sectPr>
          <w:footerReference r:id="rId4" w:type="default"/>
          <w:footerReference r:id="rId5" w:type="even"/>
          <w:pgSz w:w="11907" w:h="16840"/>
          <w:pgMar w:top="1418" w:right="1418" w:bottom="1418" w:left="1418" w:header="851" w:footer="652" w:gutter="284"/>
          <w:pgNumType w:start="0"/>
          <w:cols w:space="720" w:num="1"/>
          <w:titlePg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大亚湾区环境监测站目前具备水、海水、空气与废气、土壤、噪声、机动车尾气共6大类119项检测项目的监测能力。                     </w:t>
      </w: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  <w:bookmarkStart w:id="7" w:name="_Toc167634120"/>
      <w:bookmarkStart w:id="8" w:name="_Toc167634191"/>
      <w:bookmarkStart w:id="9" w:name="_Toc167634862"/>
      <w:bookmarkStart w:id="10" w:name="_Toc167634891"/>
      <w:bookmarkStart w:id="11" w:name="_Toc168279400"/>
      <w:bookmarkStart w:id="12" w:name="_Toc229881821"/>
      <w:bookmarkStart w:id="13" w:name="_Toc229881874"/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第二部分  环境质量状况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outlineLvl w:val="1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14" w:name="_Toc167634121"/>
      <w:bookmarkStart w:id="15" w:name="_Toc167634192"/>
      <w:bookmarkStart w:id="16" w:name="_Toc167634863"/>
      <w:bookmarkStart w:id="17" w:name="_Toc167634892"/>
      <w:bookmarkStart w:id="18" w:name="_Toc168279401"/>
      <w:bookmarkStart w:id="19" w:name="_Toc229881822"/>
      <w:bookmarkStart w:id="20" w:name="_Toc229881875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一、环境</w:t>
      </w:r>
      <w:bookmarkEnd w:id="14"/>
      <w:bookmarkEnd w:id="15"/>
      <w:bookmarkEnd w:id="16"/>
      <w:bookmarkEnd w:id="17"/>
      <w:bookmarkEnd w:id="18"/>
      <w:bookmarkEnd w:id="19"/>
      <w:bookmarkEnd w:id="2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空气</w:t>
      </w:r>
    </w:p>
    <w:p>
      <w:pPr>
        <w:ind w:firstLine="703" w:firstLineChars="25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1、环境空气质量总体情况</w:t>
      </w:r>
    </w:p>
    <w:p>
      <w:pPr>
        <w:spacing w:line="560" w:lineRule="exact"/>
        <w:ind w:left="-59" w:leftChars="-28" w:right="-334" w:rightChars="-159" w:firstLine="560" w:firstLineChars="200"/>
        <w:outlineLvl w:val="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2014年度，大亚湾区空气质量综合指数3.72，空气质量优良率为93.0%，其中优比例41.2%，良比例51.8%，空气质量优天数147天，良天数185天。大亚湾区空气质量整体保持良好，</w:t>
      </w:r>
      <w:r>
        <w:rPr>
          <w:rFonts w:hint="eastAsia" w:ascii="仿宋_GB2312" w:hAnsi="仿宋_GB2312" w:eastAsia="仿宋_GB2312" w:cs="仿宋_GB2312"/>
          <w:sz w:val="28"/>
          <w:szCs w:val="28"/>
        </w:rPr>
        <w:t>在惠州市名列前茅（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监测结果及变化趋势见表1、图1）。</w:t>
      </w:r>
    </w:p>
    <w:p>
      <w:pPr>
        <w:spacing w:line="560" w:lineRule="exact"/>
        <w:ind w:left="-59" w:leftChars="-28" w:right="-334" w:rightChars="-159" w:firstLine="560" w:firstLineChars="200"/>
        <w:outlineLvl w:val="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spacing w:line="240" w:lineRule="atLeast"/>
        <w:jc w:val="center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 xml:space="preserve">   表1  大亚湾区2014年大气污染物监测结果（mg/m</w:t>
      </w:r>
      <w:r>
        <w:rPr>
          <w:rFonts w:hint="eastAsia" w:ascii="仿宋_GB2312" w:hAnsi="仿宋_GB2312" w:eastAsia="仿宋_GB2312" w:cs="仿宋_GB2312"/>
          <w:b/>
          <w:sz w:val="24"/>
          <w:szCs w:val="24"/>
          <w:vertAlign w:val="superscript"/>
        </w:rPr>
        <w:t>3</w:t>
      </w:r>
      <w:r>
        <w:rPr>
          <w:rFonts w:hint="eastAsia" w:ascii="仿宋_GB2312" w:hAnsi="仿宋_GB2312" w:eastAsia="仿宋_GB2312" w:cs="仿宋_GB2312"/>
          <w:b/>
          <w:sz w:val="24"/>
          <w:szCs w:val="24"/>
        </w:rPr>
        <w:t>）</w:t>
      </w:r>
    </w:p>
    <w:tbl>
      <w:tblPr>
        <w:tblStyle w:val="16"/>
        <w:tblpPr w:leftFromText="180" w:rightFromText="180" w:vertAnchor="text" w:horzAnchor="margin" w:tblpXSpec="center" w:tblpY="99"/>
        <w:tblOverlap w:val="never"/>
        <w:tblW w:w="8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51"/>
        <w:gridCol w:w="992"/>
        <w:gridCol w:w="993"/>
        <w:gridCol w:w="1275"/>
        <w:gridCol w:w="1276"/>
        <w:gridCol w:w="992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5" w:hRule="atLeast"/>
        </w:trPr>
        <w:tc>
          <w:tcPr>
            <w:tcW w:w="1951" w:type="dxa"/>
            <w:tcBorders>
              <w:tl2br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21" w:name="OLE_LINK1" w:colFirst="0" w:colLast="6"/>
            <w:bookmarkStart w:id="22" w:name="OLE_LINK2" w:colFirst="0" w:colLast="6"/>
            <w:bookmarkStart w:id="23" w:name="OLE_LINK3" w:colFirst="0" w:colLast="6"/>
            <w:r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pict>
                <v:shape id="Quad Arrow 4" o:spid="_x0000_s1028" type="#_x0000_t202" style="position:absolute;left:0;margin-left:-1.45pt;margin-top:5.65pt;height:22.8pt;width:43.45pt;rotation:0f;z-index:251663360;" o:ole="f" fillcolor="#FFFFFF" filled="f" o:preferrelative="t" stroked="f" coordorigin="0,0" coordsize="21600,21600">
                  <v:fill on="f" color2="#FFFFFF" focus="0%"/>
                  <v:imagedata gain="65536f" blacklevel="0f" gamma="0"/>
                  <o:lock v:ext="edit" position="f" selection="f" grouping="f" rotation="f" cropping="f" text="f" aspectratio="f"/>
                  <v:textbox style="mso-fit-shape-to-text:t;"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</w:rPr>
                          <w:t>年度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pict>
                <v:shape id="Quad Arrow 5" o:spid="_x0000_s1029" type="#_x0000_t202" style="position:absolute;left:0;margin-left:58pt;margin-top:-0.15pt;height:22.8pt;width:35.45pt;mso-wrap-style:none;rotation:0f;z-index:251662336;" o:ole="f" fillcolor="#FFFFFF" filled="f" o:preferrelative="t" stroked="f" coordorigin="0,0" coordsize="21600,21600">
                  <v:fill on="f" color2="#FFFFFF" focus="0%"/>
                  <v:imagedata gain="65536f" blacklevel="0f" gamma="0"/>
                  <o:lock v:ext="edit" position="f" selection="f" grouping="f" rotation="f" cropping="f" text="f" aspectratio="f"/>
                  <v:textbox style="mso-fit-shape-to-text:t;"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</w:rPr>
                          <w:t>项目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SO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NO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CO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O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PM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PM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subscript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2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0.017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0.026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0.142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0.054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7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二级标准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0.06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0.04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0.16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0.07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0.035</w:t>
            </w:r>
          </w:p>
        </w:tc>
      </w:tr>
      <w:bookmarkEnd w:id="21"/>
      <w:bookmarkEnd w:id="22"/>
      <w:bookmarkEnd w:id="23"/>
    </w:tbl>
    <w:p>
      <w:pPr>
        <w:spacing w:beforeLines="50"/>
        <w:ind w:firstLine="602" w:firstLineChars="250"/>
        <w:rPr>
          <w:rFonts w:ascii="仿宋_GB2312" w:hAnsi="仿宋_GB2312" w:eastAsia="仿宋_GB2312" w:cs="仿宋_GB2312"/>
          <w:b/>
          <w:sz w:val="24"/>
          <w:szCs w:val="24"/>
        </w:rPr>
      </w:pPr>
      <w:bookmarkStart w:id="24" w:name="_Toc167634122"/>
      <w:r>
        <w:rPr>
          <w:rFonts w:hint="eastAsia" w:ascii="仿宋_GB2312" w:hAnsi="仿宋_GB2312" w:eastAsia="仿宋_GB2312" w:cs="仿宋_GB2312"/>
          <w:b/>
          <w:sz w:val="24"/>
          <w:szCs w:val="24"/>
        </w:rPr>
        <w:t>备注：</w:t>
      </w:r>
      <w:r>
        <w:rPr>
          <w:rFonts w:hint="eastAsia" w:ascii="仿宋_GB2312" w:hAnsi="仿宋_GB2312" w:eastAsia="仿宋_GB2312" w:cs="仿宋_GB2312"/>
          <w:sz w:val="24"/>
          <w:szCs w:val="24"/>
        </w:rPr>
        <w:t>SO</w:t>
      </w:r>
      <w:r>
        <w:rPr>
          <w:rFonts w:hint="eastAsia" w:ascii="仿宋_GB2312" w:hAnsi="仿宋_GB2312" w:eastAsia="仿宋_GB2312" w:cs="仿宋_GB2312"/>
          <w:bCs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NO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PM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10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PM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2.5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为《环境空气质量标准》（GB3095-2012）年均值二级标准；</w:t>
      </w:r>
      <w:r>
        <w:rPr>
          <w:rFonts w:hint="eastAsia" w:ascii="仿宋_GB2312" w:hAnsi="仿宋_GB2312" w:eastAsia="仿宋_GB2312" w:cs="仿宋_GB2312"/>
          <w:sz w:val="24"/>
          <w:szCs w:val="24"/>
        </w:rPr>
        <w:t>CO为24小时均值标准，O</w:t>
      </w:r>
      <w:r>
        <w:rPr>
          <w:rFonts w:hint="eastAsia" w:ascii="仿宋_GB2312" w:hAnsi="仿宋_GB2312" w:eastAsia="仿宋_GB2312" w:cs="仿宋_GB2312"/>
          <w:sz w:val="24"/>
          <w:szCs w:val="24"/>
          <w:vertAlign w:val="subscript"/>
        </w:rPr>
        <w:t>3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为日最大8小时均值标准。</w:t>
      </w:r>
    </w:p>
    <w:bookmarkEnd w:id="24"/>
    <w:p>
      <w:pPr>
        <w:ind w:firstLine="422" w:firstLineChars="15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  <w:pict>
          <v:shape id="图表 6" o:spid="_x0000_s1030" type="#_x0000_t75" style="position:absolute;left:0;margin-left:8.1pt;margin-top:24.85pt;height:157.3pt;width:418pt;rotation:0f;z-index:-251658240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</v:shape>
        </w:pic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color w:val="FF0000"/>
        </w:rPr>
      </w:pPr>
    </w:p>
    <w:p>
      <w:pPr>
        <w:rPr>
          <w:rFonts w:ascii="仿宋_GB2312" w:hAnsi="仿宋_GB2312" w:eastAsia="仿宋_GB2312" w:cs="仿宋_GB2312"/>
          <w:b/>
          <w:bCs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图1  空气质量因子变化趋势图</w:t>
      </w:r>
    </w:p>
    <w:p>
      <w:pPr>
        <w:spacing w:line="560" w:lineRule="exact"/>
        <w:ind w:left="-59" w:leftChars="-28" w:right="-334" w:rightChars="-159"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2014年，大亚湾区空气质量优良率同比2013年上升5%，SO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、CO、PM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、PM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2.5</w:t>
      </w:r>
      <w:r>
        <w:rPr>
          <w:rFonts w:hint="eastAsia" w:ascii="仿宋_GB2312" w:hAnsi="仿宋_GB2312" w:eastAsia="仿宋_GB2312" w:cs="仿宋_GB2312"/>
          <w:sz w:val="28"/>
          <w:szCs w:val="28"/>
        </w:rPr>
        <w:t>浓度分别下降15.0%、25.0%、16.9%、11.1%，NO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上升8.3%，O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浓度与去年持平。</w:t>
      </w:r>
    </w:p>
    <w:p>
      <w:pPr>
        <w:spacing w:line="56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bookmarkStart w:id="25" w:name="_Toc167634123"/>
      <w:bookmarkStart w:id="26" w:name="_Toc167634193"/>
      <w:bookmarkStart w:id="27" w:name="_Toc167634864"/>
      <w:bookmarkStart w:id="28" w:name="_Toc167634893"/>
      <w:bookmarkStart w:id="29" w:name="_Toc168279402"/>
      <w:bookmarkStart w:id="30" w:name="_Toc229881823"/>
      <w:bookmarkStart w:id="31" w:name="_Toc229881876"/>
      <w:r>
        <w:rPr>
          <w:rFonts w:hint="eastAsia" w:ascii="仿宋_GB2312" w:hAnsi="仿宋_GB2312" w:eastAsia="仿宋_GB2312" w:cs="仿宋_GB2312"/>
          <w:b/>
          <w:sz w:val="28"/>
          <w:szCs w:val="28"/>
        </w:rPr>
        <w:t>2、石化区特征因子监测结果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石化区大气自动监测站位于石化区环保监控中心，监测挥发性有机污染物（C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-C</w:t>
      </w:r>
      <w:r>
        <w:rPr>
          <w:rFonts w:hint="eastAsia" w:ascii="仿宋_GB2312" w:hAnsi="仿宋_GB2312" w:eastAsia="仿宋_GB2312" w:cs="仿宋_GB2312"/>
          <w:sz w:val="28"/>
          <w:szCs w:val="28"/>
          <w:vertAlign w:val="subscript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</w:rPr>
        <w:t>）,有机硫化物等46种大气特征污染物。2014年度，石化区主要大气特征因子监测结果及变化趋势见表2、图2。</w:t>
      </w:r>
    </w:p>
    <w:p>
      <w:pPr>
        <w:spacing w:beforeLines="50" w:afterLines="25"/>
        <w:jc w:val="center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 xml:space="preserve"> 表2  石化区主要大气特征因子监测结果表（单位：mg/m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vertAlign w:val="superscript"/>
        </w:rPr>
        <w:t>3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）</w:t>
      </w:r>
    </w:p>
    <w:tbl>
      <w:tblPr>
        <w:tblStyle w:val="16"/>
        <w:tblpPr w:leftFromText="180" w:rightFromText="180" w:vertAnchor="text" w:horzAnchor="margin" w:tblpXSpec="center" w:tblpY="99"/>
        <w:tblOverlap w:val="never"/>
        <w:tblW w:w="86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51"/>
        <w:gridCol w:w="992"/>
        <w:gridCol w:w="993"/>
        <w:gridCol w:w="1275"/>
        <w:gridCol w:w="1276"/>
        <w:gridCol w:w="1138"/>
        <w:gridCol w:w="1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5" w:hRule="atLeast"/>
        </w:trPr>
        <w:tc>
          <w:tcPr>
            <w:tcW w:w="1951" w:type="dxa"/>
            <w:tcBorders>
              <w:tl2br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pict>
                <v:shape id="Quad Arrow 7" o:spid="_x0000_s1031" type="#_x0000_t202" style="position:absolute;left:0;margin-left:-1.45pt;margin-top:5.65pt;height:22.8pt;width:43.45pt;rotation:0f;z-index:251665408;" o:ole="f" fillcolor="#FFFFFF" filled="f" o:preferrelative="t" stroked="f" coordorigin="0,0" coordsize="21600,21600">
                  <v:fill on="f" color2="#FFFFFF" focus="0%"/>
                  <v:imagedata gain="65536f" blacklevel="0f" gamma="0"/>
                  <o:lock v:ext="edit" position="f" selection="f" grouping="f" rotation="f" cropping="f" text="f" aspectratio="f"/>
                  <v:textbox style="mso-fit-shape-to-text:t;"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</w:rPr>
                          <w:t>年度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pict>
                <v:shape id="Quad Arrow 8" o:spid="_x0000_s1032" type="#_x0000_t202" style="position:absolute;left:0;margin-left:58pt;margin-top:-0.15pt;height:22.8pt;width:35.45pt;mso-wrap-style:none;rotation:0f;z-index:251664384;" o:ole="f" fillcolor="#FFFFFF" filled="f" o:preferrelative="t" stroked="f" coordorigin="0,0" coordsize="21600,21600">
                  <v:fill on="f" color2="#FFFFFF" focus="0%"/>
                  <v:imagedata gain="65536f" blacklevel="0f" gamma="0"/>
                  <o:lock v:ext="edit" position="f" selection="f" grouping="f" rotation="f" cropping="f" text="f" aspectratio="f"/>
                  <v:textbox style="mso-fit-shape-to-text:t;">
                    <w:txbxContent>
                      <w:p>
                        <w:pPr>
                          <w:rPr>
                            <w:rFonts w:ascii="仿宋_GB2312" w:hAnsi="仿宋_GB2312" w:eastAsia="仿宋_GB2312" w:cs="仿宋_GB2312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</w:rPr>
                          <w:t>项目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硫化氢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甲硫醇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甲硫醚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丙烯</w:t>
            </w:r>
          </w:p>
        </w:tc>
        <w:tc>
          <w:tcPr>
            <w:tcW w:w="113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二硫化碳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苯乙烯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2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2014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0.004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0.001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7" w:hRule="atLeast"/>
        </w:trPr>
        <w:tc>
          <w:tcPr>
            <w:tcW w:w="1951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参考标准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0.06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0.007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0.08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13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057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</w:tr>
    </w:tbl>
    <w:p>
      <w:pPr>
        <w:spacing w:line="360" w:lineRule="auto"/>
        <w:ind w:left="-59" w:leftChars="-28" w:right="-334" w:rightChars="-159" w:firstLine="643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Times New Roman" w:eastAsia="仿宋_GB2312" w:cs="Times New Roman"/>
          <w:b/>
          <w:kern w:val="2"/>
          <w:sz w:val="32"/>
          <w:lang w:val="en-US" w:eastAsia="zh-CN" w:bidi="ar-SA"/>
        </w:rPr>
        <w:pict>
          <v:shape id="图表 1" o:spid="_x0000_s1033" type="#_x0000_t75" style="position:absolute;left:0;margin-left:16.1pt;margin-top:103.05pt;height:172.5pt;width:411pt;rotation:0f;z-index:-251657216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f"/>
          </v:shape>
        </w:pict>
      </w:r>
    </w:p>
    <w:p>
      <w:pPr>
        <w:spacing w:line="360" w:lineRule="auto"/>
        <w:ind w:left="-59" w:leftChars="-28" w:right="-334" w:rightChars="-159"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left="-59" w:leftChars="-28" w:right="-334" w:rightChars="-159"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left="-59" w:leftChars="-28" w:right="-334" w:rightChars="-159"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auto"/>
        <w:ind w:left="-59" w:leftChars="-28" w:right="-334" w:rightChars="-159"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beforeLines="50" w:line="560" w:lineRule="exact"/>
        <w:outlineLvl w:val="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</w:t>
      </w:r>
    </w:p>
    <w:p>
      <w:pPr>
        <w:spacing w:beforeLines="50" w:line="560" w:lineRule="exact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32"/>
        </w:rPr>
        <w:t xml:space="preserve">            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图2  石化特征因子浓度变化趋势图</w:t>
      </w:r>
    </w:p>
    <w:p>
      <w:pPr>
        <w:spacing w:line="360" w:lineRule="auto"/>
        <w:ind w:left="-59" w:leftChars="-28" w:right="-334" w:rightChars="-159" w:firstLine="562" w:firstLineChars="200"/>
        <w:outlineLvl w:val="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3、结果评价</w:t>
      </w:r>
    </w:p>
    <w:p>
      <w:pPr>
        <w:spacing w:line="360" w:lineRule="auto"/>
        <w:ind w:left="-59" w:leftChars="-28" w:right="-334" w:rightChars="-159"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综上所述，2014年大亚湾区空气质量优良率93.0%，满足《环境空气质量标准》（GB3095-2012）二级标准，空气质量整体保持良好；空气质量改善的主要原因是我区开展了工地扬尘、黄标车淘汰、VOC（挥发性有机物）等大气集中整治“十大行动”，整治成效比较明显。</w:t>
      </w:r>
    </w:p>
    <w:p>
      <w:pPr>
        <w:spacing w:line="360" w:lineRule="auto"/>
        <w:ind w:left="-59" w:leftChars="-28" w:right="-334" w:rightChars="-159"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（2）石化区大气特征因子满足《工业场所有害因素职业接触限值》、《恶臭污染物排放标准》、《大气污染物排放限值》等参考标准要求。</w:t>
      </w:r>
    </w:p>
    <w:p>
      <w:pPr>
        <w:outlineLvl w:val="1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二、水环境</w:t>
      </w:r>
      <w:bookmarkEnd w:id="25"/>
      <w:bookmarkEnd w:id="26"/>
      <w:bookmarkEnd w:id="27"/>
      <w:bookmarkEnd w:id="28"/>
      <w:bookmarkEnd w:id="29"/>
      <w:bookmarkEnd w:id="30"/>
      <w:bookmarkEnd w:id="31"/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1、饮用水源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风田水库是大亚湾区主要的集中式饮用水源地，2014年风田水库水厂取水口和中心区的监测数据统计结果见表3。</w:t>
      </w:r>
    </w:p>
    <w:p>
      <w:pPr>
        <w:ind w:firstLine="482" w:firstLineChars="200"/>
        <w:jc w:val="center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表3  风田水质监测结果评价统计表</w:t>
      </w:r>
    </w:p>
    <w:tbl>
      <w:tblPr>
        <w:tblStyle w:val="16"/>
        <w:tblW w:w="87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46"/>
        <w:gridCol w:w="1131"/>
        <w:gridCol w:w="5694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1" w:hRule="atLeast"/>
        </w:trPr>
        <w:tc>
          <w:tcPr>
            <w:tcW w:w="746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湖库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名称</w:t>
            </w:r>
          </w:p>
        </w:tc>
        <w:tc>
          <w:tcPr>
            <w:tcW w:w="1131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测点名称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694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主要监测项目</w:t>
            </w:r>
          </w:p>
        </w:tc>
        <w:tc>
          <w:tcPr>
            <w:tcW w:w="1155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1" w:hRule="atLeast"/>
        </w:trPr>
        <w:tc>
          <w:tcPr>
            <w:tcW w:w="746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1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694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5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12" w:hRule="atLeast"/>
        </w:trPr>
        <w:tc>
          <w:tcPr>
            <w:tcW w:w="746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风田水库</w:t>
            </w:r>
          </w:p>
        </w:tc>
        <w:tc>
          <w:tcPr>
            <w:tcW w:w="1131" w:type="dxa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风田水库水厂取水口</w:t>
            </w:r>
          </w:p>
        </w:tc>
        <w:tc>
          <w:tcPr>
            <w:tcW w:w="5694" w:type="dxa"/>
            <w:vMerge w:val="restart"/>
            <w:tcMar>
              <w:left w:w="11" w:type="dxa"/>
              <w:right w:w="11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水温、pH、总磷、高锰酸盐指数、化学需氧量、 溶解氧、透明度、氟化物、挥发酚、石油类、粪大肠菌群、氨氮、硫酸盐、五日生化需氧量、氯化物、总氮、铁、锰、铜、锌、硒、砷、汞、镉、六价铬、铅、阴离子表面活性剂、氰化物、硝酸盐、硫化物、叶绿素等</w:t>
            </w:r>
          </w:p>
        </w:tc>
        <w:tc>
          <w:tcPr>
            <w:tcW w:w="1155" w:type="dxa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100%达标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58" w:hRule="atLeast"/>
        </w:trPr>
        <w:tc>
          <w:tcPr>
            <w:tcW w:w="746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1" w:type="dxa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风田水库中心区</w:t>
            </w:r>
          </w:p>
        </w:tc>
        <w:tc>
          <w:tcPr>
            <w:tcW w:w="5694" w:type="dxa"/>
            <w:vMerge w:val="continue"/>
            <w:tcMar>
              <w:left w:w="11" w:type="dxa"/>
              <w:right w:w="11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5" w:type="dxa"/>
            <w:tcMar>
              <w:left w:w="11" w:type="dxa"/>
              <w:right w:w="11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100%达标</w:t>
            </w:r>
          </w:p>
        </w:tc>
      </w:tr>
    </w:tbl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（1）2014年，风田水库开展水厂取水口、中心区常规监测，监测项目66项，频次：12次/年。风田水库水质达标率100%，水质保持良好。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（2）2014年，风田水库开展了《地表水环境质量标准》表3中集中式生活饮用地表水源地特定项目80项的监测，频次：1次/年。监测结果表明，80项特定项目均满足标准要求。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2、地表河流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2014年，区环境监测站对大亚湾区内坪山河、淡澳河、响水河、柏岗河、岩前河、南边灶河、石头河、苏埔河等8条主要河流进行了常规监测，监测频次为：4-6次/年。</w:t>
      </w:r>
    </w:p>
    <w:p>
      <w:pPr>
        <w:ind w:firstLine="422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（1）跨界河流：</w:t>
      </w:r>
      <w:r>
        <w:rPr>
          <w:rFonts w:hint="eastAsia" w:ascii="仿宋_GB2312" w:hAnsi="仿宋_GB2312" w:eastAsia="仿宋_GB2312" w:cs="仿宋_GB2312"/>
          <w:sz w:val="28"/>
          <w:szCs w:val="28"/>
        </w:rPr>
        <w:t>坪山河为跨界河流，上垟断面（深圳-惠州交界断面）水质为劣Ⅴ类，综合污染指数同比上升17.5%，污染有所反弹，主要污染负荷来源于上游深圳。石头河水质劣Ⅴ类，综合污染指数同比下降15.1%，水质有所好转。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（2）入海河流：</w:t>
      </w:r>
      <w:r>
        <w:rPr>
          <w:rFonts w:hint="eastAsia" w:ascii="仿宋_GB2312" w:hAnsi="仿宋_GB2312" w:eastAsia="仿宋_GB2312" w:cs="仿宋_GB2312"/>
          <w:sz w:val="28"/>
          <w:szCs w:val="28"/>
        </w:rPr>
        <w:t>南边灶河、岩前河、柏岗河等河流为石化区入海河流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监测结果表明，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以上河流</w:t>
      </w:r>
      <w:r>
        <w:rPr>
          <w:rFonts w:hint="eastAsia" w:ascii="仿宋_GB2312" w:hAnsi="仿宋_GB2312" w:eastAsia="仿宋_GB2312" w:cs="仿宋_GB2312"/>
          <w:sz w:val="28"/>
          <w:szCs w:val="28"/>
        </w:rPr>
        <w:t>水质满足Ⅳ类水质功能要求。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苏埔河水质为V类，满足水质功能要求；响水河、淡澳河水质仍为劣Ⅴ类，主要污染因子为氨氮、总磷。响水河水质同比无明显变化，淡澳河综合污染指数同比下降18.4%，水质有所好转。响水河、淡澳河污染因子为氨氮、总磷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主要</w:t>
      </w:r>
      <w:r>
        <w:rPr>
          <w:rFonts w:hint="eastAsia" w:ascii="仿宋_GB2312" w:hAnsi="仿宋_GB2312" w:eastAsia="仿宋_GB2312" w:cs="仿宋_GB2312"/>
          <w:sz w:val="28"/>
          <w:szCs w:val="28"/>
        </w:rPr>
        <w:t>为生活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污水影响</w:t>
      </w:r>
      <w:r>
        <w:rPr>
          <w:rFonts w:hint="eastAsia" w:ascii="仿宋_GB2312" w:hAnsi="仿宋_GB2312" w:eastAsia="仿宋_GB2312" w:cs="仿宋_GB2312"/>
          <w:sz w:val="28"/>
          <w:szCs w:val="28"/>
        </w:rPr>
        <w:t>。目前，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我区</w:t>
      </w:r>
      <w:r>
        <w:rPr>
          <w:rFonts w:hint="eastAsia" w:ascii="仿宋_GB2312" w:hAnsi="仿宋_GB2312" w:eastAsia="仿宋_GB2312" w:cs="仿宋_GB2312"/>
          <w:sz w:val="28"/>
          <w:szCs w:val="28"/>
        </w:rPr>
        <w:t>正在加快推进响水河、坪山河、石头河等河流的综合整治，加快完善污水截污管网建设，在污水管网尚未覆盖的农村区域建设人工湿地工程，逐步恢复河流自然生态功能。</w:t>
      </w:r>
    </w:p>
    <w:p>
      <w:pPr>
        <w:numPr>
          <w:ilvl w:val="0"/>
          <w:numId w:val="1"/>
        </w:num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近岸海域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大亚湾近岸海域布设3个监测点位，监测项目23项，监测频次3次/年。2014年，所测点位水质均达到《海水水质标准》（GB3097—1997）一类标准，水质达标率100%。</w:t>
      </w:r>
    </w:p>
    <w:p>
      <w:pPr>
        <w:spacing w:line="360" w:lineRule="auto"/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Arial Unicode MS" w:eastAsia="仿宋_GB2312"/>
          <w:b/>
          <w:bCs/>
          <w:sz w:val="28"/>
          <w:szCs w:val="28"/>
        </w:rPr>
        <w:t>表4    近海海域水质状况</w:t>
      </w:r>
    </w:p>
    <w:tbl>
      <w:tblPr>
        <w:tblStyle w:val="16"/>
        <w:tblW w:w="8083" w:type="dxa"/>
        <w:tblInd w:w="3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864"/>
        <w:gridCol w:w="2364"/>
        <w:gridCol w:w="2080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1" w:hRule="atLeast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监测点位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2014年水质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功能类别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5" w:hRule="atLeast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大亚湾北部养殖区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7" w:hRule="atLeast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小鹰嘴养殖区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21" w:hRule="atLeast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大亚湾东部养殖区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</w:tr>
    </w:tbl>
    <w:p>
      <w:pPr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numPr>
          <w:ilvl w:val="0"/>
          <w:numId w:val="1"/>
        </w:num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排污口海域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石化区污水处理达标后通过22公里管线深海排放至三角洲海域。区环保局在排污口附近海域布设6个监测点位，监测项目31项，监测频次4次/年。2014年，所测点位水质满足海水功能要求，海水水质保持良好。</w:t>
      </w:r>
    </w:p>
    <w:p>
      <w:pPr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Arial Unicode MS" w:eastAsia="仿宋_GB2312"/>
          <w:b/>
          <w:bCs/>
          <w:sz w:val="28"/>
          <w:szCs w:val="28"/>
        </w:rPr>
        <w:t>表5  石化区排污口海域水质情况</w:t>
      </w:r>
    </w:p>
    <w:tbl>
      <w:tblPr>
        <w:tblStyle w:val="16"/>
        <w:tblW w:w="7962" w:type="dxa"/>
        <w:jc w:val="center"/>
        <w:tblInd w:w="-7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915"/>
        <w:gridCol w:w="2843"/>
        <w:gridCol w:w="1958"/>
        <w:gridCol w:w="2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监测点位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2014年水质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功能类别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南部实验区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67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中部缓冲区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北部实验区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排污口南部800米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0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排污口北部800米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2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石化区排污口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一类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三类</w:t>
            </w:r>
          </w:p>
        </w:tc>
      </w:tr>
    </w:tbl>
    <w:p>
      <w:pPr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32" w:name="_Toc167634124"/>
      <w:bookmarkStart w:id="33" w:name="_Toc167634194"/>
      <w:bookmarkStart w:id="34" w:name="_Toc167634865"/>
      <w:bookmarkStart w:id="35" w:name="_Toc167634894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三、声环境</w:t>
      </w:r>
      <w:bookmarkEnd w:id="32"/>
      <w:bookmarkEnd w:id="33"/>
      <w:bookmarkEnd w:id="34"/>
      <w:bookmarkEnd w:id="35"/>
    </w:p>
    <w:p>
      <w:pPr>
        <w:ind w:firstLine="422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  <w:bookmarkStart w:id="36" w:name="_Toc168279403"/>
      <w:bookmarkStart w:id="37" w:name="_Toc229881824"/>
      <w:bookmarkStart w:id="38" w:name="_Toc229881877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1、区域噪声</w:t>
      </w: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根据大亚湾区2014年度城市定量考核和环境目标责任制考核要求，区域环境噪声布设64个监测点位，监测结果见表6。</w:t>
      </w:r>
    </w:p>
    <w:p>
      <w:pPr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Arial Unicode MS" w:eastAsia="仿宋_GB2312"/>
          <w:b/>
          <w:bCs/>
          <w:sz w:val="28"/>
          <w:szCs w:val="28"/>
        </w:rPr>
        <w:t>表6  区域环境噪声监测结果</w:t>
      </w:r>
    </w:p>
    <w:tbl>
      <w:tblPr>
        <w:tblStyle w:val="16"/>
        <w:tblW w:w="8416" w:type="dxa"/>
        <w:jc w:val="center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33"/>
        <w:gridCol w:w="1720"/>
        <w:gridCol w:w="1721"/>
        <w:gridCol w:w="172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项目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网格规格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米×米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监测点数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变化范围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  <w:tc>
          <w:tcPr>
            <w:tcW w:w="1721" w:type="dxa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均值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33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区域噪声</w:t>
            </w:r>
          </w:p>
        </w:tc>
        <w:tc>
          <w:tcPr>
            <w:tcW w:w="172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300×300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64</w:t>
            </w:r>
          </w:p>
        </w:tc>
        <w:tc>
          <w:tcPr>
            <w:tcW w:w="172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51.8-58.9</w:t>
            </w:r>
          </w:p>
        </w:tc>
        <w:tc>
          <w:tcPr>
            <w:tcW w:w="172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55.4</w:t>
            </w:r>
          </w:p>
        </w:tc>
      </w:tr>
    </w:tbl>
    <w:p>
      <w:pPr>
        <w:ind w:firstLine="422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2、交通噪声</w:t>
      </w:r>
    </w:p>
    <w:p>
      <w:pPr>
        <w:ind w:firstLine="420" w:firstLineChars="150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根据大亚湾区2014年度城市定量考核和环境目标责任制考核要求，交通噪声布设16个监测点位，监测结果见表7。</w:t>
      </w:r>
    </w:p>
    <w:p>
      <w:pPr>
        <w:jc w:val="center"/>
        <w:rPr>
          <w:rFonts w:ascii="仿宋_GB2312" w:hAnsi="Arial Unicode MS" w:eastAsia="仿宋_GB2312"/>
          <w:b/>
          <w:bCs/>
          <w:sz w:val="28"/>
          <w:szCs w:val="28"/>
        </w:rPr>
      </w:pPr>
      <w:r>
        <w:rPr>
          <w:rFonts w:hint="eastAsia" w:ascii="仿宋_GB2312" w:hAnsi="Arial Unicode MS" w:eastAsia="仿宋_GB2312"/>
          <w:b/>
          <w:bCs/>
          <w:sz w:val="28"/>
          <w:szCs w:val="28"/>
        </w:rPr>
        <w:t>表7  交通噪声监测结果</w:t>
      </w:r>
    </w:p>
    <w:tbl>
      <w:tblPr>
        <w:tblStyle w:val="16"/>
        <w:tblW w:w="836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81"/>
        <w:gridCol w:w="951"/>
        <w:gridCol w:w="915"/>
        <w:gridCol w:w="1245"/>
        <w:gridCol w:w="1290"/>
        <w:gridCol w:w="1365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96" w:hRule="atLeast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监测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路段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（条）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路宽</w:t>
            </w:r>
          </w:p>
          <w:p>
            <w:pPr>
              <w:widowControl/>
              <w:ind w:right="279" w:rightChars="133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（米）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路长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（米）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平均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车流量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（辆/小时）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等效声级变化范围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等效声级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加权均值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dB（A）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83" w:hRule="atLeast"/>
        </w:trPr>
        <w:tc>
          <w:tcPr>
            <w:tcW w:w="108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交通噪声</w:t>
            </w:r>
          </w:p>
        </w:tc>
        <w:tc>
          <w:tcPr>
            <w:tcW w:w="951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</w:t>
            </w:r>
          </w:p>
        </w:tc>
        <w:tc>
          <w:tcPr>
            <w:tcW w:w="91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30.6</w:t>
            </w:r>
          </w:p>
        </w:tc>
        <w:tc>
          <w:tcPr>
            <w:tcW w:w="1245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1481</w:t>
            </w:r>
          </w:p>
        </w:tc>
        <w:tc>
          <w:tcPr>
            <w:tcW w:w="1290" w:type="dxa"/>
            <w:tcMar>
              <w:left w:w="11" w:type="dxa"/>
              <w:right w:w="11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2022</w:t>
            </w:r>
          </w:p>
        </w:tc>
        <w:tc>
          <w:tcPr>
            <w:tcW w:w="1365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65.3-68.9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67.5</w:t>
            </w:r>
          </w:p>
        </w:tc>
      </w:tr>
    </w:tbl>
    <w:p>
      <w:pPr>
        <w:ind w:firstLine="422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422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422" w:firstLineChars="15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3、区域噪声、交通噪声变化趋势</w:t>
      </w:r>
    </w:p>
    <w:p>
      <w:pPr>
        <w:spacing w:beforeLines="1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pict>
          <v:shape id="图表 1" o:spid="_x0000_s1034" type="#_x0000_t75" style="height:180.9pt;width:371.4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f"/>
            <w10:wrap type="none"/>
            <w10:anchorlock/>
          </v:shape>
        </w:pict>
      </w:r>
    </w:p>
    <w:p>
      <w:pPr>
        <w:jc w:val="center"/>
      </w:pPr>
    </w:p>
    <w:p>
      <w:pPr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eastAsia="仿宋_GB2312"/>
        </w:rPr>
        <w:t xml:space="preserve">                 </w:t>
      </w:r>
      <w:r>
        <w:rPr>
          <w:rFonts w:hint="eastAsia" w:eastAsia="仿宋_GB2312"/>
          <w:b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4"/>
        </w:rPr>
        <w:t>图3  区域噪声、交通噪声变化趋势图</w:t>
      </w:r>
    </w:p>
    <w:p>
      <w:pPr>
        <w:rPr>
          <w:rFonts w:ascii="仿宋_GB2312" w:hAnsi="仿宋_GB2312" w:eastAsia="仿宋_GB2312" w:cs="仿宋_GB2312"/>
          <w:b/>
          <w:bCs/>
          <w:sz w:val="24"/>
        </w:rPr>
      </w:pPr>
    </w:p>
    <w:p>
      <w:pPr>
        <w:ind w:firstLine="420" w:firstLineChars="1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2014年度，区域环境噪声等效声级平均值为55.5dB（A），满足《声环境质量标准》（GB3096-2008）2类60dB（A）(昼间)标准限值，与2013年相比，区域声环境质量保持稳定；交通噪声等效声级平均值为67.5dB（A），满足《声环境质量标准》（GB3096-2008）4类70dB（A）(昼间)标准限值，与2013年相比，交通噪声无明显变化。</w:t>
      </w:r>
    </w:p>
    <w:p>
      <w:pPr>
        <w:spacing w:afterLines="300" w:line="360" w:lineRule="auto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spacing w:afterLines="300" w:line="360" w:lineRule="auto"/>
        <w:jc w:val="center"/>
        <w:outlineLvl w:val="0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第三部分  </w:t>
      </w:r>
      <w:bookmarkEnd w:id="36"/>
      <w:bookmarkEnd w:id="37"/>
      <w:bookmarkEnd w:id="38"/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结 论</w:t>
      </w:r>
    </w:p>
    <w:p>
      <w:pPr>
        <w:spacing w:afterLines="300" w:line="360" w:lineRule="auto"/>
        <w:outlineLvl w:val="0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FF0000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2014年，</w:t>
      </w:r>
      <w:r>
        <w:rPr>
          <w:rFonts w:hint="eastAsia" w:ascii="仿宋_GB2312" w:hAnsi="仿宋_GB2312" w:eastAsia="仿宋_GB2312" w:cs="仿宋_GB2312"/>
          <w:sz w:val="28"/>
        </w:rPr>
        <w:t>大亚湾区环境空气质量保持良好，空气质量优良率93.0%，空气质量优天数147天，良天数185天；集中式饮用水源地风田水库水质优良，水质满足《地表水环境质量标准》(GB3838-2002）II类标准；入海河流</w:t>
      </w:r>
      <w:r>
        <w:rPr>
          <w:rFonts w:hint="eastAsia" w:ascii="仿宋_GB2312" w:hAnsi="仿宋_GB2312" w:eastAsia="仿宋_GB2312" w:cs="仿宋_GB2312"/>
          <w:sz w:val="28"/>
          <w:szCs w:val="28"/>
        </w:rPr>
        <w:t>南边灶河、岩前河、柏岗河满足功能要求，坪山河、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响水河、</w:t>
      </w:r>
      <w:r>
        <w:rPr>
          <w:rFonts w:hint="eastAsia" w:ascii="仿宋_GB2312" w:hAnsi="仿宋_GB2312" w:eastAsia="仿宋_GB2312" w:cs="仿宋_GB2312"/>
          <w:sz w:val="28"/>
          <w:szCs w:val="28"/>
        </w:rPr>
        <w:t>淡澳河等河涌水质相对较差，主要污染指标为氨氮、总磷；近岸海域以及</w:t>
      </w:r>
      <w:r>
        <w:rPr>
          <w:rFonts w:hint="eastAsia" w:ascii="仿宋_GB2312" w:hAnsi="仿宋_GB2312" w:eastAsia="仿宋_GB2312" w:cs="仿宋_GB2312"/>
          <w:sz w:val="28"/>
        </w:rPr>
        <w:t>石化区排污口附近海域水质满足功能区要求，水质保持良好；区域噪声和道路交通噪声满足</w:t>
      </w:r>
      <w:bookmarkStart w:id="39" w:name="_GoBack"/>
      <w:bookmarkEnd w:id="39"/>
      <w:r>
        <w:rPr>
          <w:rFonts w:hint="eastAsia" w:ascii="仿宋_GB2312" w:hAnsi="仿宋_GB2312" w:eastAsia="仿宋_GB2312" w:cs="仿宋_GB2312"/>
          <w:sz w:val="28"/>
          <w:szCs w:val="28"/>
        </w:rPr>
        <w:t>《声环境质量标准》（GB3096-2008）标准要求</w:t>
      </w:r>
      <w:r>
        <w:rPr>
          <w:rFonts w:hint="eastAsia" w:ascii="仿宋_GB2312" w:hAnsi="仿宋_GB2312" w:eastAsia="仿宋_GB2312" w:cs="仿宋_GB2312"/>
          <w:sz w:val="28"/>
        </w:rPr>
        <w:t>。</w:t>
      </w:r>
    </w:p>
    <w:p>
      <w:pPr>
        <w:spacing w:beforeLines="100"/>
        <w:rPr>
          <w:rFonts w:ascii="仿宋_GB2312" w:hAnsi="仿宋_GB2312" w:eastAsia="仿宋_GB2312" w:cs="仿宋_GB2312"/>
          <w:color w:val="FF0000"/>
        </w:rPr>
      </w:pPr>
    </w:p>
    <w:sectPr>
      <w:pgSz w:w="11906" w:h="16838"/>
      <w:pgMar w:top="1418" w:right="1474" w:bottom="1418" w:left="1418" w:header="851" w:footer="992" w:gutter="284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Microsoft Sans Serif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创艺简标宋">
    <w:altName w:val="黑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F7FFAFFF" w:usb1="E9DFFFFF" w:usb2="0000003F" w:usb3="00000000" w:csb0="003F01F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2</w:t>
    </w:r>
    <w: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4</w:t>
    </w:r>
    <w:r>
      <w:fldChar w:fldCharType="end"/>
    </w:r>
  </w:p>
  <w:p>
    <w:pPr>
      <w:pStyle w:val="6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2263135">
    <w:nsid w:val="555E99DF"/>
    <w:multiLevelType w:val="singleLevel"/>
    <w:tmpl w:val="555E99DF"/>
    <w:lvl w:ilvl="0" w:tentative="1">
      <w:start w:val="3"/>
      <w:numFmt w:val="decimal"/>
      <w:suff w:val="nothing"/>
      <w:lvlText w:val="%1、"/>
      <w:lvlJc w:val="left"/>
    </w:lvl>
  </w:abstractNum>
  <w:num w:numId="1">
    <w:abstractNumId w:val="14322631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147D01"/>
    <w:rsid w:val="00172A27"/>
    <w:rsid w:val="00232EAF"/>
    <w:rsid w:val="002E5956"/>
    <w:rsid w:val="003B1CD2"/>
    <w:rsid w:val="003C4EEA"/>
    <w:rsid w:val="00402B96"/>
    <w:rsid w:val="00517900"/>
    <w:rsid w:val="00560B98"/>
    <w:rsid w:val="0056644E"/>
    <w:rsid w:val="006A747B"/>
    <w:rsid w:val="007053B9"/>
    <w:rsid w:val="007C379D"/>
    <w:rsid w:val="008D5D54"/>
    <w:rsid w:val="008F782D"/>
    <w:rsid w:val="009039A3"/>
    <w:rsid w:val="009456E7"/>
    <w:rsid w:val="009A68F9"/>
    <w:rsid w:val="009C1254"/>
    <w:rsid w:val="009D091C"/>
    <w:rsid w:val="00A12DCD"/>
    <w:rsid w:val="00B24CBE"/>
    <w:rsid w:val="00BF05F1"/>
    <w:rsid w:val="00C01E22"/>
    <w:rsid w:val="00C75572"/>
    <w:rsid w:val="00CF6183"/>
    <w:rsid w:val="00D96AA6"/>
    <w:rsid w:val="00DB5E5E"/>
    <w:rsid w:val="00DD7B4F"/>
    <w:rsid w:val="00E06217"/>
    <w:rsid w:val="00F62535"/>
    <w:rsid w:val="00F82459"/>
    <w:rsid w:val="00FC6D05"/>
    <w:rsid w:val="012104EA"/>
    <w:rsid w:val="051F7A75"/>
    <w:rsid w:val="056A6870"/>
    <w:rsid w:val="0C89471E"/>
    <w:rsid w:val="0E3C75E8"/>
    <w:rsid w:val="0EA84719"/>
    <w:rsid w:val="0EF56D96"/>
    <w:rsid w:val="10D26327"/>
    <w:rsid w:val="115E178F"/>
    <w:rsid w:val="1331710B"/>
    <w:rsid w:val="16815279"/>
    <w:rsid w:val="192C06DB"/>
    <w:rsid w:val="19376A6C"/>
    <w:rsid w:val="1AE81CB5"/>
    <w:rsid w:val="1BA34DA5"/>
    <w:rsid w:val="1BC23B97"/>
    <w:rsid w:val="1BF91AF2"/>
    <w:rsid w:val="1C6F4FB4"/>
    <w:rsid w:val="1D756A60"/>
    <w:rsid w:val="1F7D6E36"/>
    <w:rsid w:val="22295B1A"/>
    <w:rsid w:val="22551E62"/>
    <w:rsid w:val="22AC2870"/>
    <w:rsid w:val="26303437"/>
    <w:rsid w:val="2DE7275E"/>
    <w:rsid w:val="2F59133A"/>
    <w:rsid w:val="30110AE9"/>
    <w:rsid w:val="30E07EBD"/>
    <w:rsid w:val="338B331E"/>
    <w:rsid w:val="34D11437"/>
    <w:rsid w:val="37B36F71"/>
    <w:rsid w:val="38774730"/>
    <w:rsid w:val="399B1010"/>
    <w:rsid w:val="3A335D0B"/>
    <w:rsid w:val="3A8A671A"/>
    <w:rsid w:val="3BA548E8"/>
    <w:rsid w:val="3C2619BE"/>
    <w:rsid w:val="3DAD4CBD"/>
    <w:rsid w:val="40A5279C"/>
    <w:rsid w:val="413D7498"/>
    <w:rsid w:val="4345786D"/>
    <w:rsid w:val="461E6C96"/>
    <w:rsid w:val="46CC00B3"/>
    <w:rsid w:val="494A71CD"/>
    <w:rsid w:val="4AE820F1"/>
    <w:rsid w:val="4C906FAA"/>
    <w:rsid w:val="4CF15D4A"/>
    <w:rsid w:val="4F45079D"/>
    <w:rsid w:val="4F5167AE"/>
    <w:rsid w:val="4F874A89"/>
    <w:rsid w:val="53BA2E6A"/>
    <w:rsid w:val="567B6271"/>
    <w:rsid w:val="56902993"/>
    <w:rsid w:val="582278A6"/>
    <w:rsid w:val="58A545FC"/>
    <w:rsid w:val="58F16C7A"/>
    <w:rsid w:val="5AF9704F"/>
    <w:rsid w:val="5BE84759"/>
    <w:rsid w:val="5D7A5DE9"/>
    <w:rsid w:val="6093187E"/>
    <w:rsid w:val="61146955"/>
    <w:rsid w:val="62194B7D"/>
    <w:rsid w:val="62444AC8"/>
    <w:rsid w:val="62C75F9B"/>
    <w:rsid w:val="64176BC2"/>
    <w:rsid w:val="65F56152"/>
    <w:rsid w:val="685F0B4B"/>
    <w:rsid w:val="6A270136"/>
    <w:rsid w:val="6A680BA0"/>
    <w:rsid w:val="6B161FBD"/>
    <w:rsid w:val="6B8D0D02"/>
    <w:rsid w:val="6BB9504A"/>
    <w:rsid w:val="6DA1296C"/>
    <w:rsid w:val="6E2F5A53"/>
    <w:rsid w:val="70221706"/>
    <w:rsid w:val="7063216F"/>
    <w:rsid w:val="71F37403"/>
    <w:rsid w:val="72617A36"/>
    <w:rsid w:val="72D706A6"/>
    <w:rsid w:val="7523723A"/>
    <w:rsid w:val="752E55CB"/>
    <w:rsid w:val="75AF26A1"/>
    <w:rsid w:val="770B4B5C"/>
    <w:rsid w:val="78DD2859"/>
    <w:rsid w:val="79C1634F"/>
    <w:rsid w:val="7A5977C7"/>
    <w:rsid w:val="7CBA3AAE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/>
    <w:lsdException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Style w:val="1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ocument Map"/>
    <w:basedOn w:val="1"/>
    <w:uiPriority w:val="0"/>
    <w:pPr>
      <w:shd w:val="clear" w:color="auto" w:fill="000080"/>
    </w:pPr>
  </w:style>
  <w:style w:type="paragraph" w:styleId="3">
    <w:name w:val="Body Text Indent"/>
    <w:basedOn w:val="1"/>
    <w:uiPriority w:val="0"/>
    <w:pPr>
      <w:ind w:left="315" w:firstLine="420"/>
    </w:pPr>
    <w:rPr>
      <w:rFonts w:ascii="宋体"/>
      <w:sz w:val="28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iPriority w:val="0"/>
    <w:pPr>
      <w:tabs>
        <w:tab w:val="right" w:leader="hyphen" w:pos="8777"/>
      </w:tabs>
    </w:pPr>
    <w:rPr>
      <w:rFonts w:ascii="宋体" w:hAnsi="宋体"/>
      <w:b/>
      <w:sz w:val="24"/>
      <w:szCs w:val="24"/>
    </w:rPr>
  </w:style>
  <w:style w:type="paragraph" w:styleId="9">
    <w:name w:val="toc 2"/>
    <w:basedOn w:val="1"/>
    <w:next w:val="1"/>
    <w:uiPriority w:val="0"/>
    <w:pPr>
      <w:ind w:left="420" w:leftChars="200"/>
    </w:pPr>
  </w:style>
  <w:style w:type="paragraph" w:styleId="10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uiPriority w:val="0"/>
    <w:rPr/>
  </w:style>
  <w:style w:type="character" w:styleId="14">
    <w:name w:val="FollowedHyperlink"/>
    <w:basedOn w:val="11"/>
    <w:uiPriority w:val="0"/>
    <w:rPr>
      <w:color w:val="800080"/>
      <w:u w:val="single"/>
    </w:rPr>
  </w:style>
  <w:style w:type="character" w:styleId="15">
    <w:name w:val="Hyperlink"/>
    <w:basedOn w:val="11"/>
    <w:uiPriority w:val="0"/>
    <w:rPr>
      <w:color w:val="0000FF"/>
      <w:u w:val="single"/>
    </w:rPr>
  </w:style>
  <w:style w:type="paragraph" w:customStyle="1" w:styleId="17">
    <w:name w:val="p0"/>
    <w:basedOn w:val="1"/>
    <w:uiPriority w:val="0"/>
    <w:pPr>
      <w:widowControl/>
    </w:pPr>
    <w:rPr>
      <w:rFonts w:ascii="Calibri" w:hAnsi="Calibri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10</Pages>
  <Words>633</Words>
  <Characters>3613</Characters>
  <Lines>30</Lines>
  <Paragraphs>8</Paragraphs>
  <TotalTime>0</TotalTime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2015-01-23T02:54:00Z</dcterms:created>
  <dc:creator>ton</dc:creator>
  <cp:lastModifiedBy>Administrator</cp:lastModifiedBy>
  <cp:lastPrinted>2014-05-23T07:21:00Z</cp:lastPrinted>
  <dcterms:modified xsi:type="dcterms:W3CDTF">2015-06-30T01:31:15Z</dcterms:modified>
  <dc:title>一、 监测概况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